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0C41870B" w:rsidR="005F3CFE" w:rsidRDefault="00875ADB" w:rsidP="00CB5B3D">
          <w:pPr>
            <w:pStyle w:val="Title"/>
          </w:pPr>
          <w:r>
            <w:t>Step accreditation of</w:t>
          </w:r>
          <w:r w:rsidR="00CE2031">
            <w:t xml:space="preserve"> a Master of Pharmacy (MPharm) degree programme, 2021</w:t>
          </w:r>
          <w:r w:rsidR="00CA4967">
            <w:t>/</w:t>
          </w:r>
          <w:r w:rsidR="00CE2031">
            <w:t>22 academic year</w:t>
          </w:r>
        </w:p>
      </w:sdtContent>
    </w:sdt>
    <w:bookmarkEnd w:id="0"/>
    <w:p w14:paraId="324075B3" w14:textId="369AA239" w:rsidR="004006D7" w:rsidRPr="00751837" w:rsidRDefault="004006D7">
      <w:pPr>
        <w:rPr>
          <w:b/>
          <w:bCs/>
          <w:color w:val="00759B" w:themeColor="accent1"/>
        </w:rPr>
      </w:pPr>
      <w:r w:rsidRPr="00ED556F">
        <w:rPr>
          <w:b/>
          <w:bCs/>
          <w:color w:val="00759B" w:themeColor="accent1"/>
          <w:sz w:val="40"/>
          <w:szCs w:val="40"/>
        </w:rPr>
        <w:t xml:space="preserve">Submission template </w:t>
      </w:r>
      <w:r w:rsidR="00C72AE8" w:rsidRPr="008A7798">
        <w:rPr>
          <w:b/>
          <w:bCs/>
          <w:color w:val="00759B" w:themeColor="accent1"/>
        </w:rPr>
        <w:t>v1.</w:t>
      </w:r>
      <w:r w:rsidR="00751837">
        <w:rPr>
          <w:b/>
          <w:bCs/>
          <w:color w:val="00759B" w:themeColor="accent1"/>
        </w:rPr>
        <w:t>3</w:t>
      </w:r>
      <w:r w:rsidR="00875ADB" w:rsidRPr="008A7798">
        <w:rPr>
          <w:b/>
          <w:bCs/>
          <w:color w:val="00759B" w:themeColor="accent1"/>
        </w:rPr>
        <w:t>a</w:t>
      </w:r>
    </w:p>
    <w:p w14:paraId="2EB28A1B" w14:textId="1268F55E" w:rsidR="00CE2031" w:rsidRDefault="00CE2031" w:rsidP="00917CF6">
      <w:pPr>
        <w:rPr>
          <w:b/>
          <w:bCs/>
          <w:color w:val="563C75" w:themeColor="text2"/>
          <w:sz w:val="48"/>
          <w:szCs w:val="48"/>
        </w:rPr>
      </w:pPr>
    </w:p>
    <w:p w14:paraId="2265D77C" w14:textId="77777777" w:rsidR="00980D2B" w:rsidRPr="00E53FC2" w:rsidRDefault="00980D2B" w:rsidP="00980D2B">
      <w:pPr>
        <w:rPr>
          <w:color w:val="00759B" w:themeColor="accent1"/>
        </w:rPr>
      </w:pPr>
      <w:r w:rsidRPr="00E53FC2">
        <w:rPr>
          <w:color w:val="00759B" w:themeColor="accent1"/>
        </w:rPr>
        <w:t>This is an alternative submission template for use by course providers wishing to describe how the programme’s teaching, learning and assessment is aligned to the GPhC learning outcomes by domain, rather than by individual learning outcome.  Each of the 55 learning outcomes is provided for reference purposes. The remainder of the template is identical.</w:t>
      </w:r>
    </w:p>
    <w:p w14:paraId="5F99DC88" w14:textId="2CAE2EE4" w:rsidR="00CE2031" w:rsidRDefault="00CE2031" w:rsidP="00917CF6">
      <w:pPr>
        <w:rPr>
          <w:b/>
          <w:bCs/>
          <w:color w:val="563C75" w:themeColor="text2"/>
          <w:sz w:val="48"/>
          <w:szCs w:val="48"/>
        </w:rPr>
      </w:pPr>
    </w:p>
    <w:p w14:paraId="3149A05E" w14:textId="709A112F" w:rsidR="00CE2031" w:rsidRDefault="00CE2031" w:rsidP="00917CF6">
      <w:pPr>
        <w:rPr>
          <w:b/>
          <w:bCs/>
          <w:color w:val="563C75" w:themeColor="text2"/>
          <w:sz w:val="48"/>
          <w:szCs w:val="48"/>
        </w:rPr>
      </w:pPr>
    </w:p>
    <w:p w14:paraId="61922C83" w14:textId="3FC281EB" w:rsidR="00CE2031" w:rsidRDefault="00CE2031" w:rsidP="00917CF6">
      <w:pPr>
        <w:rPr>
          <w:b/>
          <w:bCs/>
          <w:color w:val="563C75" w:themeColor="text2"/>
          <w:sz w:val="48"/>
          <w:szCs w:val="48"/>
        </w:rPr>
      </w:pPr>
    </w:p>
    <w:p w14:paraId="23FEF687" w14:textId="074470F0" w:rsidR="00CE2031" w:rsidRDefault="00CE2031" w:rsidP="00917CF6">
      <w:pPr>
        <w:rPr>
          <w:b/>
          <w:bCs/>
          <w:color w:val="563C75" w:themeColor="text2"/>
          <w:sz w:val="48"/>
          <w:szCs w:val="48"/>
        </w:rPr>
      </w:pPr>
    </w:p>
    <w:p w14:paraId="67AD5D22" w14:textId="00DAD92B" w:rsidR="00CE2031" w:rsidRDefault="00CE2031" w:rsidP="00917CF6">
      <w:pPr>
        <w:rPr>
          <w:b/>
          <w:bCs/>
          <w:color w:val="563C75" w:themeColor="text2"/>
          <w:sz w:val="48"/>
          <w:szCs w:val="48"/>
        </w:rPr>
      </w:pPr>
    </w:p>
    <w:p w14:paraId="66C9E4BD" w14:textId="6A59279C" w:rsidR="00CE2031" w:rsidRDefault="00CE2031" w:rsidP="00917CF6">
      <w:pPr>
        <w:rPr>
          <w:b/>
          <w:bCs/>
          <w:color w:val="563C75" w:themeColor="text2"/>
          <w:sz w:val="48"/>
          <w:szCs w:val="48"/>
        </w:rPr>
      </w:pPr>
    </w:p>
    <w:p w14:paraId="79518820" w14:textId="47E02883" w:rsidR="00CE2031" w:rsidRDefault="00CE2031" w:rsidP="00917CF6">
      <w:pPr>
        <w:rPr>
          <w:b/>
          <w:bCs/>
          <w:color w:val="563C75" w:themeColor="text2"/>
          <w:sz w:val="48"/>
          <w:szCs w:val="48"/>
        </w:rPr>
      </w:pPr>
    </w:p>
    <w:p w14:paraId="7D7F1136" w14:textId="0EC44CD7" w:rsidR="00CE2031" w:rsidRDefault="00CE2031" w:rsidP="00917CF6">
      <w:pPr>
        <w:rPr>
          <w:b/>
          <w:bCs/>
          <w:color w:val="563C75" w:themeColor="text2"/>
          <w:sz w:val="48"/>
          <w:szCs w:val="48"/>
        </w:rPr>
      </w:pPr>
    </w:p>
    <w:p w14:paraId="1BC49047" w14:textId="5EDFA1CC" w:rsidR="00CE2031" w:rsidRDefault="00CE2031" w:rsidP="00917CF6">
      <w:pPr>
        <w:rPr>
          <w:b/>
          <w:bCs/>
          <w:color w:val="563C75" w:themeColor="text2"/>
          <w:sz w:val="48"/>
          <w:szCs w:val="48"/>
        </w:rPr>
      </w:pPr>
    </w:p>
    <w:p w14:paraId="444EFD2E" w14:textId="2553A108" w:rsidR="00CE2031" w:rsidRDefault="00CE2031" w:rsidP="00917CF6">
      <w:pPr>
        <w:rPr>
          <w:b/>
          <w:bCs/>
          <w:color w:val="563C75" w:themeColor="text2"/>
          <w:sz w:val="48"/>
          <w:szCs w:val="48"/>
        </w:rPr>
      </w:pPr>
    </w:p>
    <w:p w14:paraId="14558926" w14:textId="307B3718" w:rsidR="00CE2031" w:rsidRDefault="00CE2031" w:rsidP="00917CF6">
      <w:pPr>
        <w:rPr>
          <w:b/>
          <w:bCs/>
          <w:color w:val="563C75" w:themeColor="text2"/>
          <w:sz w:val="48"/>
          <w:szCs w:val="48"/>
        </w:rPr>
      </w:pPr>
    </w:p>
    <w:p w14:paraId="01FD67B8" w14:textId="77777777" w:rsidR="00CE2031" w:rsidRPr="009A561D" w:rsidRDefault="00CE2031" w:rsidP="00917CF6">
      <w:pPr>
        <w:rPr>
          <w:b/>
          <w:bCs/>
          <w:color w:val="563C75" w:themeColor="text2"/>
          <w:sz w:val="48"/>
          <w:szCs w:val="48"/>
        </w:rPr>
      </w:pP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p w14:paraId="5D6C3669" w14:textId="2FD278EE" w:rsidR="000C1ABE"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92960538" w:history="1">
            <w:r w:rsidR="000C1ABE" w:rsidRPr="000314CE">
              <w:rPr>
                <w:rStyle w:val="Hyperlink"/>
                <w:noProof/>
                <w:lang w:eastAsia="en-GB"/>
              </w:rPr>
              <w:t>Guidance</w:t>
            </w:r>
            <w:r w:rsidR="000C1ABE">
              <w:rPr>
                <w:noProof/>
                <w:webHidden/>
              </w:rPr>
              <w:tab/>
            </w:r>
            <w:r w:rsidR="000C1ABE">
              <w:rPr>
                <w:noProof/>
                <w:webHidden/>
              </w:rPr>
              <w:fldChar w:fldCharType="begin"/>
            </w:r>
            <w:r w:rsidR="000C1ABE">
              <w:rPr>
                <w:noProof/>
                <w:webHidden/>
              </w:rPr>
              <w:instrText xml:space="preserve"> PAGEREF _Toc92960538 \h </w:instrText>
            </w:r>
            <w:r w:rsidR="000C1ABE">
              <w:rPr>
                <w:noProof/>
                <w:webHidden/>
              </w:rPr>
            </w:r>
            <w:r w:rsidR="000C1ABE">
              <w:rPr>
                <w:noProof/>
                <w:webHidden/>
              </w:rPr>
              <w:fldChar w:fldCharType="separate"/>
            </w:r>
            <w:r w:rsidR="000C1ABE">
              <w:rPr>
                <w:noProof/>
                <w:webHidden/>
              </w:rPr>
              <w:t>3</w:t>
            </w:r>
            <w:r w:rsidR="000C1ABE">
              <w:rPr>
                <w:noProof/>
                <w:webHidden/>
              </w:rPr>
              <w:fldChar w:fldCharType="end"/>
            </w:r>
          </w:hyperlink>
        </w:p>
        <w:p w14:paraId="1B704FDC" w14:textId="77DE810D" w:rsidR="000C1ABE" w:rsidRDefault="00CA4967">
          <w:pPr>
            <w:pStyle w:val="TOC1"/>
            <w:rPr>
              <w:rFonts w:eastAsiaTheme="minorEastAsia"/>
              <w:b w:val="0"/>
              <w:noProof/>
              <w:color w:val="auto"/>
              <w:sz w:val="22"/>
              <w:szCs w:val="22"/>
              <w:lang w:eastAsia="en-GB"/>
            </w:rPr>
          </w:pPr>
          <w:hyperlink w:anchor="_Toc92960539" w:history="1">
            <w:r w:rsidR="000C1ABE" w:rsidRPr="000314CE">
              <w:rPr>
                <w:rStyle w:val="Hyperlink"/>
                <w:noProof/>
              </w:rPr>
              <w:t>Background programme information:</w:t>
            </w:r>
            <w:r w:rsidR="000C1ABE">
              <w:rPr>
                <w:noProof/>
                <w:webHidden/>
              </w:rPr>
              <w:tab/>
            </w:r>
            <w:r w:rsidR="000C1ABE">
              <w:rPr>
                <w:noProof/>
                <w:webHidden/>
              </w:rPr>
              <w:fldChar w:fldCharType="begin"/>
            </w:r>
            <w:r w:rsidR="000C1ABE">
              <w:rPr>
                <w:noProof/>
                <w:webHidden/>
              </w:rPr>
              <w:instrText xml:space="preserve"> PAGEREF _Toc92960539 \h </w:instrText>
            </w:r>
            <w:r w:rsidR="000C1ABE">
              <w:rPr>
                <w:noProof/>
                <w:webHidden/>
              </w:rPr>
            </w:r>
            <w:r w:rsidR="000C1ABE">
              <w:rPr>
                <w:noProof/>
                <w:webHidden/>
              </w:rPr>
              <w:fldChar w:fldCharType="separate"/>
            </w:r>
            <w:r w:rsidR="000C1ABE">
              <w:rPr>
                <w:noProof/>
                <w:webHidden/>
              </w:rPr>
              <w:t>5</w:t>
            </w:r>
            <w:r w:rsidR="000C1ABE">
              <w:rPr>
                <w:noProof/>
                <w:webHidden/>
              </w:rPr>
              <w:fldChar w:fldCharType="end"/>
            </w:r>
          </w:hyperlink>
        </w:p>
        <w:p w14:paraId="3EB46C1C" w14:textId="440A89DA" w:rsidR="000C1ABE" w:rsidRDefault="00CA4967">
          <w:pPr>
            <w:pStyle w:val="TOC2"/>
            <w:rPr>
              <w:rFonts w:eastAsiaTheme="minorEastAsia"/>
              <w:b w:val="0"/>
              <w:noProof/>
              <w:color w:val="auto"/>
              <w:sz w:val="22"/>
              <w:szCs w:val="22"/>
              <w:lang w:eastAsia="en-GB"/>
            </w:rPr>
          </w:pPr>
          <w:hyperlink w:anchor="_Toc92960540" w:history="1">
            <w:r w:rsidR="000C1ABE" w:rsidRPr="000314CE">
              <w:rPr>
                <w:rStyle w:val="Hyperlink"/>
                <w:noProof/>
              </w:rPr>
              <w:t>Introduction to the programme</w:t>
            </w:r>
            <w:r w:rsidR="000C1ABE">
              <w:rPr>
                <w:noProof/>
                <w:webHidden/>
              </w:rPr>
              <w:tab/>
            </w:r>
            <w:r w:rsidR="000C1ABE">
              <w:rPr>
                <w:noProof/>
                <w:webHidden/>
              </w:rPr>
              <w:fldChar w:fldCharType="begin"/>
            </w:r>
            <w:r w:rsidR="000C1ABE">
              <w:rPr>
                <w:noProof/>
                <w:webHidden/>
              </w:rPr>
              <w:instrText xml:space="preserve"> PAGEREF _Toc92960540 \h </w:instrText>
            </w:r>
            <w:r w:rsidR="000C1ABE">
              <w:rPr>
                <w:noProof/>
                <w:webHidden/>
              </w:rPr>
            </w:r>
            <w:r w:rsidR="000C1ABE">
              <w:rPr>
                <w:noProof/>
                <w:webHidden/>
              </w:rPr>
              <w:fldChar w:fldCharType="separate"/>
            </w:r>
            <w:r w:rsidR="000C1ABE">
              <w:rPr>
                <w:noProof/>
                <w:webHidden/>
              </w:rPr>
              <w:t>6</w:t>
            </w:r>
            <w:r w:rsidR="000C1ABE">
              <w:rPr>
                <w:noProof/>
                <w:webHidden/>
              </w:rPr>
              <w:fldChar w:fldCharType="end"/>
            </w:r>
          </w:hyperlink>
        </w:p>
        <w:p w14:paraId="2AA44910" w14:textId="04B3D930" w:rsidR="000C1ABE" w:rsidRDefault="00CA4967">
          <w:pPr>
            <w:pStyle w:val="TOC2"/>
            <w:rPr>
              <w:rFonts w:eastAsiaTheme="minorEastAsia"/>
              <w:b w:val="0"/>
              <w:noProof/>
              <w:color w:val="auto"/>
              <w:sz w:val="22"/>
              <w:szCs w:val="22"/>
              <w:lang w:eastAsia="en-GB"/>
            </w:rPr>
          </w:pPr>
          <w:hyperlink w:anchor="_Toc92960541" w:history="1">
            <w:r w:rsidR="000C1ABE" w:rsidRPr="000314CE">
              <w:rPr>
                <w:rStyle w:val="Hyperlink"/>
                <w:rFonts w:eastAsia="Calibri"/>
                <w:noProof/>
              </w:rPr>
              <w:t>Managing the programme during the COVID-19 pandemic</w:t>
            </w:r>
            <w:r w:rsidR="000C1ABE">
              <w:rPr>
                <w:noProof/>
                <w:webHidden/>
              </w:rPr>
              <w:tab/>
            </w:r>
            <w:r w:rsidR="000C1ABE">
              <w:rPr>
                <w:noProof/>
                <w:webHidden/>
              </w:rPr>
              <w:fldChar w:fldCharType="begin"/>
            </w:r>
            <w:r w:rsidR="000C1ABE">
              <w:rPr>
                <w:noProof/>
                <w:webHidden/>
              </w:rPr>
              <w:instrText xml:space="preserve"> PAGEREF _Toc92960541 \h </w:instrText>
            </w:r>
            <w:r w:rsidR="000C1ABE">
              <w:rPr>
                <w:noProof/>
                <w:webHidden/>
              </w:rPr>
            </w:r>
            <w:r w:rsidR="000C1ABE">
              <w:rPr>
                <w:noProof/>
                <w:webHidden/>
              </w:rPr>
              <w:fldChar w:fldCharType="separate"/>
            </w:r>
            <w:r w:rsidR="000C1ABE">
              <w:rPr>
                <w:noProof/>
                <w:webHidden/>
              </w:rPr>
              <w:t>6</w:t>
            </w:r>
            <w:r w:rsidR="000C1ABE">
              <w:rPr>
                <w:noProof/>
                <w:webHidden/>
              </w:rPr>
              <w:fldChar w:fldCharType="end"/>
            </w:r>
          </w:hyperlink>
        </w:p>
        <w:p w14:paraId="7B93AAF3" w14:textId="24CC380B" w:rsidR="000C1ABE" w:rsidRDefault="00CA4967">
          <w:pPr>
            <w:pStyle w:val="TOC1"/>
            <w:rPr>
              <w:rFonts w:eastAsiaTheme="minorEastAsia"/>
              <w:b w:val="0"/>
              <w:noProof/>
              <w:color w:val="auto"/>
              <w:sz w:val="22"/>
              <w:szCs w:val="22"/>
              <w:lang w:eastAsia="en-GB"/>
            </w:rPr>
          </w:pPr>
          <w:hyperlink w:anchor="_Toc92960542" w:history="1">
            <w:r w:rsidR="000C1ABE" w:rsidRPr="000314CE">
              <w:rPr>
                <w:rStyle w:val="Hyperlink"/>
                <w:rFonts w:eastAsia="Times New Roman"/>
                <w:noProof/>
                <w:lang w:bidi="en-US"/>
              </w:rPr>
              <w:t>Part 1: Learning outcomes</w:t>
            </w:r>
            <w:r w:rsidR="000C1ABE">
              <w:rPr>
                <w:noProof/>
                <w:webHidden/>
              </w:rPr>
              <w:tab/>
            </w:r>
            <w:r w:rsidR="000C1ABE">
              <w:rPr>
                <w:noProof/>
                <w:webHidden/>
              </w:rPr>
              <w:fldChar w:fldCharType="begin"/>
            </w:r>
            <w:r w:rsidR="000C1ABE">
              <w:rPr>
                <w:noProof/>
                <w:webHidden/>
              </w:rPr>
              <w:instrText xml:space="preserve"> PAGEREF _Toc92960542 \h </w:instrText>
            </w:r>
            <w:r w:rsidR="000C1ABE">
              <w:rPr>
                <w:noProof/>
                <w:webHidden/>
              </w:rPr>
            </w:r>
            <w:r w:rsidR="000C1ABE">
              <w:rPr>
                <w:noProof/>
                <w:webHidden/>
              </w:rPr>
              <w:fldChar w:fldCharType="separate"/>
            </w:r>
            <w:r w:rsidR="000C1ABE">
              <w:rPr>
                <w:noProof/>
                <w:webHidden/>
              </w:rPr>
              <w:t>7</w:t>
            </w:r>
            <w:r w:rsidR="000C1ABE">
              <w:rPr>
                <w:noProof/>
                <w:webHidden/>
              </w:rPr>
              <w:fldChar w:fldCharType="end"/>
            </w:r>
          </w:hyperlink>
        </w:p>
        <w:p w14:paraId="6B1218B2" w14:textId="0BE5897B" w:rsidR="000C1ABE" w:rsidRDefault="00CA4967">
          <w:pPr>
            <w:pStyle w:val="TOC2"/>
            <w:rPr>
              <w:rFonts w:eastAsiaTheme="minorEastAsia"/>
              <w:b w:val="0"/>
              <w:noProof/>
              <w:color w:val="auto"/>
              <w:sz w:val="22"/>
              <w:szCs w:val="22"/>
              <w:lang w:eastAsia="en-GB"/>
            </w:rPr>
          </w:pPr>
          <w:hyperlink w:anchor="_Toc92960543" w:history="1">
            <w:r w:rsidR="000C1ABE" w:rsidRPr="000314CE">
              <w:rPr>
                <w:rStyle w:val="Hyperlink"/>
                <w:bCs/>
                <w:noProof/>
              </w:rPr>
              <w:t>Domain:</w:t>
            </w:r>
            <w:r w:rsidR="000C1ABE" w:rsidRPr="000314CE">
              <w:rPr>
                <w:rStyle w:val="Hyperlink"/>
                <w:noProof/>
              </w:rPr>
              <w:t xml:space="preserve"> Person-centred care and collaboration </w:t>
            </w:r>
            <w:r w:rsidR="000C1ABE" w:rsidRPr="000314CE">
              <w:rPr>
                <w:rStyle w:val="Hyperlink"/>
                <w:bCs/>
                <w:noProof/>
              </w:rPr>
              <w:t>(Learning outcomes 1-14)</w:t>
            </w:r>
            <w:r w:rsidR="000C1ABE">
              <w:rPr>
                <w:noProof/>
                <w:webHidden/>
              </w:rPr>
              <w:tab/>
            </w:r>
            <w:r w:rsidR="000C1ABE">
              <w:rPr>
                <w:noProof/>
                <w:webHidden/>
              </w:rPr>
              <w:fldChar w:fldCharType="begin"/>
            </w:r>
            <w:r w:rsidR="000C1ABE">
              <w:rPr>
                <w:noProof/>
                <w:webHidden/>
              </w:rPr>
              <w:instrText xml:space="preserve"> PAGEREF _Toc92960543 \h </w:instrText>
            </w:r>
            <w:r w:rsidR="000C1ABE">
              <w:rPr>
                <w:noProof/>
                <w:webHidden/>
              </w:rPr>
            </w:r>
            <w:r w:rsidR="000C1ABE">
              <w:rPr>
                <w:noProof/>
                <w:webHidden/>
              </w:rPr>
              <w:fldChar w:fldCharType="separate"/>
            </w:r>
            <w:r w:rsidR="000C1ABE">
              <w:rPr>
                <w:noProof/>
                <w:webHidden/>
              </w:rPr>
              <w:t>7</w:t>
            </w:r>
            <w:r w:rsidR="000C1ABE">
              <w:rPr>
                <w:noProof/>
                <w:webHidden/>
              </w:rPr>
              <w:fldChar w:fldCharType="end"/>
            </w:r>
          </w:hyperlink>
        </w:p>
        <w:p w14:paraId="304A5E93" w14:textId="37EA6188" w:rsidR="000C1ABE" w:rsidRDefault="00CA4967">
          <w:pPr>
            <w:pStyle w:val="TOC2"/>
            <w:rPr>
              <w:rFonts w:eastAsiaTheme="minorEastAsia"/>
              <w:b w:val="0"/>
              <w:noProof/>
              <w:color w:val="auto"/>
              <w:sz w:val="22"/>
              <w:szCs w:val="22"/>
              <w:lang w:eastAsia="en-GB"/>
            </w:rPr>
          </w:pPr>
          <w:hyperlink w:anchor="_Toc92960544" w:history="1">
            <w:r w:rsidR="000C1ABE" w:rsidRPr="000314CE">
              <w:rPr>
                <w:rStyle w:val="Hyperlink"/>
                <w:bCs/>
                <w:noProof/>
              </w:rPr>
              <w:t>Domain:</w:t>
            </w:r>
            <w:r w:rsidR="000C1ABE" w:rsidRPr="000314CE">
              <w:rPr>
                <w:rStyle w:val="Hyperlink"/>
                <w:noProof/>
              </w:rPr>
              <w:t xml:space="preserve"> Professional practice </w:t>
            </w:r>
            <w:r w:rsidR="000C1ABE" w:rsidRPr="000314CE">
              <w:rPr>
                <w:rStyle w:val="Hyperlink"/>
                <w:bCs/>
                <w:noProof/>
              </w:rPr>
              <w:t>(Learning outcomes 15 - 44)</w:t>
            </w:r>
            <w:r w:rsidR="000C1ABE">
              <w:rPr>
                <w:noProof/>
                <w:webHidden/>
              </w:rPr>
              <w:tab/>
            </w:r>
            <w:r w:rsidR="000C1ABE">
              <w:rPr>
                <w:noProof/>
                <w:webHidden/>
              </w:rPr>
              <w:fldChar w:fldCharType="begin"/>
            </w:r>
            <w:r w:rsidR="000C1ABE">
              <w:rPr>
                <w:noProof/>
                <w:webHidden/>
              </w:rPr>
              <w:instrText xml:space="preserve"> PAGEREF _Toc92960544 \h </w:instrText>
            </w:r>
            <w:r w:rsidR="000C1ABE">
              <w:rPr>
                <w:noProof/>
                <w:webHidden/>
              </w:rPr>
            </w:r>
            <w:r w:rsidR="000C1ABE">
              <w:rPr>
                <w:noProof/>
                <w:webHidden/>
              </w:rPr>
              <w:fldChar w:fldCharType="separate"/>
            </w:r>
            <w:r w:rsidR="000C1ABE">
              <w:rPr>
                <w:noProof/>
                <w:webHidden/>
              </w:rPr>
              <w:t>8</w:t>
            </w:r>
            <w:r w:rsidR="000C1ABE">
              <w:rPr>
                <w:noProof/>
                <w:webHidden/>
              </w:rPr>
              <w:fldChar w:fldCharType="end"/>
            </w:r>
          </w:hyperlink>
        </w:p>
        <w:p w14:paraId="301AF543" w14:textId="34D92B24" w:rsidR="000C1ABE" w:rsidRDefault="00CA4967">
          <w:pPr>
            <w:pStyle w:val="TOC2"/>
            <w:rPr>
              <w:rFonts w:eastAsiaTheme="minorEastAsia"/>
              <w:b w:val="0"/>
              <w:noProof/>
              <w:color w:val="auto"/>
              <w:sz w:val="22"/>
              <w:szCs w:val="22"/>
              <w:lang w:eastAsia="en-GB"/>
            </w:rPr>
          </w:pPr>
          <w:hyperlink w:anchor="_Toc92960545" w:history="1">
            <w:r w:rsidR="000C1ABE" w:rsidRPr="000314CE">
              <w:rPr>
                <w:rStyle w:val="Hyperlink"/>
                <w:bCs/>
                <w:noProof/>
              </w:rPr>
              <w:t>Domain:</w:t>
            </w:r>
            <w:r w:rsidR="000C1ABE" w:rsidRPr="000314CE">
              <w:rPr>
                <w:rStyle w:val="Hyperlink"/>
                <w:noProof/>
              </w:rPr>
              <w:t xml:space="preserve"> Leadership and management </w:t>
            </w:r>
            <w:r w:rsidR="000C1ABE" w:rsidRPr="000314CE">
              <w:rPr>
                <w:rStyle w:val="Hyperlink"/>
                <w:bCs/>
                <w:noProof/>
              </w:rPr>
              <w:t>(Learning outcomes 45 - 52)</w:t>
            </w:r>
            <w:r w:rsidR="000C1ABE">
              <w:rPr>
                <w:noProof/>
                <w:webHidden/>
              </w:rPr>
              <w:tab/>
            </w:r>
            <w:r w:rsidR="000C1ABE">
              <w:rPr>
                <w:noProof/>
                <w:webHidden/>
              </w:rPr>
              <w:fldChar w:fldCharType="begin"/>
            </w:r>
            <w:r w:rsidR="000C1ABE">
              <w:rPr>
                <w:noProof/>
                <w:webHidden/>
              </w:rPr>
              <w:instrText xml:space="preserve"> PAGEREF _Toc92960545 \h </w:instrText>
            </w:r>
            <w:r w:rsidR="000C1ABE">
              <w:rPr>
                <w:noProof/>
                <w:webHidden/>
              </w:rPr>
            </w:r>
            <w:r w:rsidR="000C1ABE">
              <w:rPr>
                <w:noProof/>
                <w:webHidden/>
              </w:rPr>
              <w:fldChar w:fldCharType="separate"/>
            </w:r>
            <w:r w:rsidR="000C1ABE">
              <w:rPr>
                <w:noProof/>
                <w:webHidden/>
              </w:rPr>
              <w:t>12</w:t>
            </w:r>
            <w:r w:rsidR="000C1ABE">
              <w:rPr>
                <w:noProof/>
                <w:webHidden/>
              </w:rPr>
              <w:fldChar w:fldCharType="end"/>
            </w:r>
          </w:hyperlink>
        </w:p>
        <w:p w14:paraId="153FC63D" w14:textId="71E2E6AA" w:rsidR="000C1ABE" w:rsidRDefault="00CA4967">
          <w:pPr>
            <w:pStyle w:val="TOC2"/>
            <w:rPr>
              <w:rFonts w:eastAsiaTheme="minorEastAsia"/>
              <w:b w:val="0"/>
              <w:noProof/>
              <w:color w:val="auto"/>
              <w:sz w:val="22"/>
              <w:szCs w:val="22"/>
              <w:lang w:eastAsia="en-GB"/>
            </w:rPr>
          </w:pPr>
          <w:hyperlink w:anchor="_Toc92960546" w:history="1">
            <w:r w:rsidR="000C1ABE" w:rsidRPr="000314CE">
              <w:rPr>
                <w:rStyle w:val="Hyperlink"/>
                <w:bCs/>
                <w:noProof/>
              </w:rPr>
              <w:t>Domain:</w:t>
            </w:r>
            <w:r w:rsidR="000C1ABE" w:rsidRPr="000314CE">
              <w:rPr>
                <w:rStyle w:val="Hyperlink"/>
                <w:noProof/>
              </w:rPr>
              <w:t xml:space="preserve"> Education and research    </w:t>
            </w:r>
            <w:r w:rsidR="000C1ABE" w:rsidRPr="000314CE">
              <w:rPr>
                <w:rStyle w:val="Hyperlink"/>
                <w:bCs/>
                <w:noProof/>
              </w:rPr>
              <w:t>(Learning outcomes 53 - 55)</w:t>
            </w:r>
            <w:r w:rsidR="000C1ABE">
              <w:rPr>
                <w:noProof/>
                <w:webHidden/>
              </w:rPr>
              <w:tab/>
            </w:r>
            <w:r w:rsidR="000C1ABE">
              <w:rPr>
                <w:noProof/>
                <w:webHidden/>
              </w:rPr>
              <w:fldChar w:fldCharType="begin"/>
            </w:r>
            <w:r w:rsidR="000C1ABE">
              <w:rPr>
                <w:noProof/>
                <w:webHidden/>
              </w:rPr>
              <w:instrText xml:space="preserve"> PAGEREF _Toc92960546 \h </w:instrText>
            </w:r>
            <w:r w:rsidR="000C1ABE">
              <w:rPr>
                <w:noProof/>
                <w:webHidden/>
              </w:rPr>
            </w:r>
            <w:r w:rsidR="000C1ABE">
              <w:rPr>
                <w:noProof/>
                <w:webHidden/>
              </w:rPr>
              <w:fldChar w:fldCharType="separate"/>
            </w:r>
            <w:r w:rsidR="000C1ABE">
              <w:rPr>
                <w:noProof/>
                <w:webHidden/>
              </w:rPr>
              <w:t>13</w:t>
            </w:r>
            <w:r w:rsidR="000C1ABE">
              <w:rPr>
                <w:noProof/>
                <w:webHidden/>
              </w:rPr>
              <w:fldChar w:fldCharType="end"/>
            </w:r>
          </w:hyperlink>
        </w:p>
        <w:p w14:paraId="4AA4BCCB" w14:textId="03FEB17D" w:rsidR="000C1ABE" w:rsidRDefault="00CA4967">
          <w:pPr>
            <w:pStyle w:val="TOC1"/>
            <w:rPr>
              <w:rFonts w:eastAsiaTheme="minorEastAsia"/>
              <w:b w:val="0"/>
              <w:noProof/>
              <w:color w:val="auto"/>
              <w:sz w:val="22"/>
              <w:szCs w:val="22"/>
              <w:lang w:eastAsia="en-GB"/>
            </w:rPr>
          </w:pPr>
          <w:hyperlink w:anchor="_Toc92960547" w:history="1">
            <w:r w:rsidR="000C1ABE" w:rsidRPr="000314CE">
              <w:rPr>
                <w:rStyle w:val="Hyperlink"/>
                <w:rFonts w:eastAsia="Times New Roman"/>
                <w:noProof/>
                <w:lang w:bidi="en-US"/>
              </w:rPr>
              <w:t>Part 2: Standards for the initial education and training of pharmacists</w:t>
            </w:r>
            <w:r w:rsidR="000C1ABE">
              <w:rPr>
                <w:noProof/>
                <w:webHidden/>
              </w:rPr>
              <w:tab/>
            </w:r>
            <w:r w:rsidR="000C1ABE">
              <w:rPr>
                <w:noProof/>
                <w:webHidden/>
              </w:rPr>
              <w:fldChar w:fldCharType="begin"/>
            </w:r>
            <w:r w:rsidR="000C1ABE">
              <w:rPr>
                <w:noProof/>
                <w:webHidden/>
              </w:rPr>
              <w:instrText xml:space="preserve"> PAGEREF _Toc92960547 \h </w:instrText>
            </w:r>
            <w:r w:rsidR="000C1ABE">
              <w:rPr>
                <w:noProof/>
                <w:webHidden/>
              </w:rPr>
            </w:r>
            <w:r w:rsidR="000C1ABE">
              <w:rPr>
                <w:noProof/>
                <w:webHidden/>
              </w:rPr>
              <w:fldChar w:fldCharType="separate"/>
            </w:r>
            <w:r w:rsidR="000C1ABE">
              <w:rPr>
                <w:noProof/>
                <w:webHidden/>
              </w:rPr>
              <w:t>14</w:t>
            </w:r>
            <w:r w:rsidR="000C1ABE">
              <w:rPr>
                <w:noProof/>
                <w:webHidden/>
              </w:rPr>
              <w:fldChar w:fldCharType="end"/>
            </w:r>
          </w:hyperlink>
        </w:p>
        <w:p w14:paraId="2CEB9F26" w14:textId="200524EF" w:rsidR="000C1ABE" w:rsidRDefault="00CA4967">
          <w:pPr>
            <w:pStyle w:val="TOC2"/>
            <w:rPr>
              <w:rFonts w:eastAsiaTheme="minorEastAsia"/>
              <w:b w:val="0"/>
              <w:noProof/>
              <w:color w:val="auto"/>
              <w:sz w:val="22"/>
              <w:szCs w:val="22"/>
              <w:lang w:eastAsia="en-GB"/>
            </w:rPr>
          </w:pPr>
          <w:hyperlink w:anchor="_Toc92960548" w:history="1">
            <w:r w:rsidR="000C1ABE" w:rsidRPr="000314CE">
              <w:rPr>
                <w:rStyle w:val="Hyperlink"/>
                <w:noProof/>
              </w:rPr>
              <w:t>Standard 1: Selection and admission</w:t>
            </w:r>
            <w:r w:rsidR="000C1ABE">
              <w:rPr>
                <w:noProof/>
                <w:webHidden/>
              </w:rPr>
              <w:tab/>
            </w:r>
            <w:r w:rsidR="000C1ABE">
              <w:rPr>
                <w:noProof/>
                <w:webHidden/>
              </w:rPr>
              <w:fldChar w:fldCharType="begin"/>
            </w:r>
            <w:r w:rsidR="000C1ABE">
              <w:rPr>
                <w:noProof/>
                <w:webHidden/>
              </w:rPr>
              <w:instrText xml:space="preserve"> PAGEREF _Toc92960548 \h </w:instrText>
            </w:r>
            <w:r w:rsidR="000C1ABE">
              <w:rPr>
                <w:noProof/>
                <w:webHidden/>
              </w:rPr>
            </w:r>
            <w:r w:rsidR="000C1ABE">
              <w:rPr>
                <w:noProof/>
                <w:webHidden/>
              </w:rPr>
              <w:fldChar w:fldCharType="separate"/>
            </w:r>
            <w:r w:rsidR="000C1ABE">
              <w:rPr>
                <w:noProof/>
                <w:webHidden/>
              </w:rPr>
              <w:t>14</w:t>
            </w:r>
            <w:r w:rsidR="000C1ABE">
              <w:rPr>
                <w:noProof/>
                <w:webHidden/>
              </w:rPr>
              <w:fldChar w:fldCharType="end"/>
            </w:r>
          </w:hyperlink>
        </w:p>
        <w:p w14:paraId="664541C1" w14:textId="3A1FAE21" w:rsidR="000C1ABE" w:rsidRDefault="00CA4967">
          <w:pPr>
            <w:pStyle w:val="TOC2"/>
            <w:rPr>
              <w:rFonts w:eastAsiaTheme="minorEastAsia"/>
              <w:b w:val="0"/>
              <w:noProof/>
              <w:color w:val="auto"/>
              <w:sz w:val="22"/>
              <w:szCs w:val="22"/>
              <w:lang w:eastAsia="en-GB"/>
            </w:rPr>
          </w:pPr>
          <w:hyperlink w:anchor="_Toc92960549" w:history="1">
            <w:r w:rsidR="000C1ABE" w:rsidRPr="000314CE">
              <w:rPr>
                <w:rStyle w:val="Hyperlink"/>
                <w:noProof/>
              </w:rPr>
              <w:t>Standard 2: Equality, diversity and fairness</w:t>
            </w:r>
            <w:r w:rsidR="000C1ABE">
              <w:rPr>
                <w:noProof/>
                <w:webHidden/>
              </w:rPr>
              <w:tab/>
            </w:r>
            <w:r w:rsidR="000C1ABE">
              <w:rPr>
                <w:noProof/>
                <w:webHidden/>
              </w:rPr>
              <w:fldChar w:fldCharType="begin"/>
            </w:r>
            <w:r w:rsidR="000C1ABE">
              <w:rPr>
                <w:noProof/>
                <w:webHidden/>
              </w:rPr>
              <w:instrText xml:space="preserve"> PAGEREF _Toc92960549 \h </w:instrText>
            </w:r>
            <w:r w:rsidR="000C1ABE">
              <w:rPr>
                <w:noProof/>
                <w:webHidden/>
              </w:rPr>
            </w:r>
            <w:r w:rsidR="000C1ABE">
              <w:rPr>
                <w:noProof/>
                <w:webHidden/>
              </w:rPr>
              <w:fldChar w:fldCharType="separate"/>
            </w:r>
            <w:r w:rsidR="000C1ABE">
              <w:rPr>
                <w:noProof/>
                <w:webHidden/>
              </w:rPr>
              <w:t>18</w:t>
            </w:r>
            <w:r w:rsidR="000C1ABE">
              <w:rPr>
                <w:noProof/>
                <w:webHidden/>
              </w:rPr>
              <w:fldChar w:fldCharType="end"/>
            </w:r>
          </w:hyperlink>
        </w:p>
        <w:p w14:paraId="09F877DC" w14:textId="5308AFDC" w:rsidR="000C1ABE" w:rsidRDefault="00CA4967">
          <w:pPr>
            <w:pStyle w:val="TOC2"/>
            <w:rPr>
              <w:rFonts w:eastAsiaTheme="minorEastAsia"/>
              <w:b w:val="0"/>
              <w:noProof/>
              <w:color w:val="auto"/>
              <w:sz w:val="22"/>
              <w:szCs w:val="22"/>
              <w:lang w:eastAsia="en-GB"/>
            </w:rPr>
          </w:pPr>
          <w:hyperlink w:anchor="_Toc92960550" w:history="1">
            <w:r w:rsidR="000C1ABE" w:rsidRPr="000314CE">
              <w:rPr>
                <w:rStyle w:val="Hyperlink"/>
                <w:noProof/>
              </w:rPr>
              <w:t>Standard 3: Resources and capacity</w:t>
            </w:r>
            <w:r w:rsidR="000C1ABE">
              <w:rPr>
                <w:noProof/>
                <w:webHidden/>
              </w:rPr>
              <w:tab/>
            </w:r>
            <w:r w:rsidR="000C1ABE">
              <w:rPr>
                <w:noProof/>
                <w:webHidden/>
              </w:rPr>
              <w:fldChar w:fldCharType="begin"/>
            </w:r>
            <w:r w:rsidR="000C1ABE">
              <w:rPr>
                <w:noProof/>
                <w:webHidden/>
              </w:rPr>
              <w:instrText xml:space="preserve"> PAGEREF _Toc92960550 \h </w:instrText>
            </w:r>
            <w:r w:rsidR="000C1ABE">
              <w:rPr>
                <w:noProof/>
                <w:webHidden/>
              </w:rPr>
            </w:r>
            <w:r w:rsidR="000C1ABE">
              <w:rPr>
                <w:noProof/>
                <w:webHidden/>
              </w:rPr>
              <w:fldChar w:fldCharType="separate"/>
            </w:r>
            <w:r w:rsidR="000C1ABE">
              <w:rPr>
                <w:noProof/>
                <w:webHidden/>
              </w:rPr>
              <w:t>20</w:t>
            </w:r>
            <w:r w:rsidR="000C1ABE">
              <w:rPr>
                <w:noProof/>
                <w:webHidden/>
              </w:rPr>
              <w:fldChar w:fldCharType="end"/>
            </w:r>
          </w:hyperlink>
        </w:p>
        <w:p w14:paraId="1C1AF83C" w14:textId="0E5BC229" w:rsidR="000C1ABE" w:rsidRDefault="00CA4967">
          <w:pPr>
            <w:pStyle w:val="TOC2"/>
            <w:rPr>
              <w:rFonts w:eastAsiaTheme="minorEastAsia"/>
              <w:b w:val="0"/>
              <w:noProof/>
              <w:color w:val="auto"/>
              <w:sz w:val="22"/>
              <w:szCs w:val="22"/>
              <w:lang w:eastAsia="en-GB"/>
            </w:rPr>
          </w:pPr>
          <w:hyperlink w:anchor="_Toc92960551" w:history="1">
            <w:r w:rsidR="000C1ABE" w:rsidRPr="000314CE">
              <w:rPr>
                <w:rStyle w:val="Hyperlink"/>
                <w:noProof/>
              </w:rPr>
              <w:t>Standard 4: Managing, developing and evaluating MPharm degrees</w:t>
            </w:r>
            <w:r w:rsidR="000C1ABE">
              <w:rPr>
                <w:noProof/>
                <w:webHidden/>
              </w:rPr>
              <w:tab/>
            </w:r>
            <w:r w:rsidR="000C1ABE">
              <w:rPr>
                <w:noProof/>
                <w:webHidden/>
              </w:rPr>
              <w:fldChar w:fldCharType="begin"/>
            </w:r>
            <w:r w:rsidR="000C1ABE">
              <w:rPr>
                <w:noProof/>
                <w:webHidden/>
              </w:rPr>
              <w:instrText xml:space="preserve"> PAGEREF _Toc92960551 \h </w:instrText>
            </w:r>
            <w:r w:rsidR="000C1ABE">
              <w:rPr>
                <w:noProof/>
                <w:webHidden/>
              </w:rPr>
            </w:r>
            <w:r w:rsidR="000C1ABE">
              <w:rPr>
                <w:noProof/>
                <w:webHidden/>
              </w:rPr>
              <w:fldChar w:fldCharType="separate"/>
            </w:r>
            <w:r w:rsidR="000C1ABE">
              <w:rPr>
                <w:noProof/>
                <w:webHidden/>
              </w:rPr>
              <w:t>22</w:t>
            </w:r>
            <w:r w:rsidR="000C1ABE">
              <w:rPr>
                <w:noProof/>
                <w:webHidden/>
              </w:rPr>
              <w:fldChar w:fldCharType="end"/>
            </w:r>
          </w:hyperlink>
        </w:p>
        <w:p w14:paraId="51B1C9F2" w14:textId="0073BBBA" w:rsidR="000C1ABE" w:rsidRDefault="00CA4967">
          <w:pPr>
            <w:pStyle w:val="TOC2"/>
            <w:rPr>
              <w:rFonts w:eastAsiaTheme="minorEastAsia"/>
              <w:b w:val="0"/>
              <w:noProof/>
              <w:color w:val="auto"/>
              <w:sz w:val="22"/>
              <w:szCs w:val="22"/>
              <w:lang w:eastAsia="en-GB"/>
            </w:rPr>
          </w:pPr>
          <w:hyperlink w:anchor="_Toc92960552" w:history="1">
            <w:r w:rsidR="000C1ABE" w:rsidRPr="000314CE">
              <w:rPr>
                <w:rStyle w:val="Hyperlink"/>
                <w:noProof/>
              </w:rPr>
              <w:t>Standard 5: Curriculum design and delivery</w:t>
            </w:r>
            <w:r w:rsidR="000C1ABE">
              <w:rPr>
                <w:noProof/>
                <w:webHidden/>
              </w:rPr>
              <w:tab/>
            </w:r>
            <w:r w:rsidR="000C1ABE">
              <w:rPr>
                <w:noProof/>
                <w:webHidden/>
              </w:rPr>
              <w:fldChar w:fldCharType="begin"/>
            </w:r>
            <w:r w:rsidR="000C1ABE">
              <w:rPr>
                <w:noProof/>
                <w:webHidden/>
              </w:rPr>
              <w:instrText xml:space="preserve"> PAGEREF _Toc92960552 \h </w:instrText>
            </w:r>
            <w:r w:rsidR="000C1ABE">
              <w:rPr>
                <w:noProof/>
                <w:webHidden/>
              </w:rPr>
            </w:r>
            <w:r w:rsidR="000C1ABE">
              <w:rPr>
                <w:noProof/>
                <w:webHidden/>
              </w:rPr>
              <w:fldChar w:fldCharType="separate"/>
            </w:r>
            <w:r w:rsidR="000C1ABE">
              <w:rPr>
                <w:noProof/>
                <w:webHidden/>
              </w:rPr>
              <w:t>24</w:t>
            </w:r>
            <w:r w:rsidR="000C1ABE">
              <w:rPr>
                <w:noProof/>
                <w:webHidden/>
              </w:rPr>
              <w:fldChar w:fldCharType="end"/>
            </w:r>
          </w:hyperlink>
        </w:p>
        <w:p w14:paraId="2C9D32F0" w14:textId="1CD23982" w:rsidR="000C1ABE" w:rsidRDefault="00CA4967">
          <w:pPr>
            <w:pStyle w:val="TOC2"/>
            <w:rPr>
              <w:rFonts w:eastAsiaTheme="minorEastAsia"/>
              <w:b w:val="0"/>
              <w:noProof/>
              <w:color w:val="auto"/>
              <w:sz w:val="22"/>
              <w:szCs w:val="22"/>
              <w:lang w:eastAsia="en-GB"/>
            </w:rPr>
          </w:pPr>
          <w:hyperlink w:anchor="_Toc92960553" w:history="1">
            <w:r w:rsidR="000C1ABE" w:rsidRPr="000314CE">
              <w:rPr>
                <w:rStyle w:val="Hyperlink"/>
                <w:noProof/>
              </w:rPr>
              <w:t>Standard 6: Assessment</w:t>
            </w:r>
            <w:r w:rsidR="000C1ABE">
              <w:rPr>
                <w:noProof/>
                <w:webHidden/>
              </w:rPr>
              <w:tab/>
            </w:r>
            <w:r w:rsidR="000C1ABE">
              <w:rPr>
                <w:noProof/>
                <w:webHidden/>
              </w:rPr>
              <w:fldChar w:fldCharType="begin"/>
            </w:r>
            <w:r w:rsidR="000C1ABE">
              <w:rPr>
                <w:noProof/>
                <w:webHidden/>
              </w:rPr>
              <w:instrText xml:space="preserve"> PAGEREF _Toc92960553 \h </w:instrText>
            </w:r>
            <w:r w:rsidR="000C1ABE">
              <w:rPr>
                <w:noProof/>
                <w:webHidden/>
              </w:rPr>
            </w:r>
            <w:r w:rsidR="000C1ABE">
              <w:rPr>
                <w:noProof/>
                <w:webHidden/>
              </w:rPr>
              <w:fldChar w:fldCharType="separate"/>
            </w:r>
            <w:r w:rsidR="000C1ABE">
              <w:rPr>
                <w:noProof/>
                <w:webHidden/>
              </w:rPr>
              <w:t>30</w:t>
            </w:r>
            <w:r w:rsidR="000C1ABE">
              <w:rPr>
                <w:noProof/>
                <w:webHidden/>
              </w:rPr>
              <w:fldChar w:fldCharType="end"/>
            </w:r>
          </w:hyperlink>
        </w:p>
        <w:p w14:paraId="25B7FBDA" w14:textId="45C5843C" w:rsidR="000C1ABE" w:rsidRDefault="00CA4967">
          <w:pPr>
            <w:pStyle w:val="TOC2"/>
            <w:rPr>
              <w:rFonts w:eastAsiaTheme="minorEastAsia"/>
              <w:b w:val="0"/>
              <w:noProof/>
              <w:color w:val="auto"/>
              <w:sz w:val="22"/>
              <w:szCs w:val="22"/>
              <w:lang w:eastAsia="en-GB"/>
            </w:rPr>
          </w:pPr>
          <w:hyperlink w:anchor="_Toc92960554" w:history="1">
            <w:r w:rsidR="000C1ABE" w:rsidRPr="000314CE">
              <w:rPr>
                <w:rStyle w:val="Hyperlink"/>
                <w:noProof/>
              </w:rPr>
              <w:t>Standard 7: Support and development for student pharmacists and everyone involved in the delivery of the MPharm degree</w:t>
            </w:r>
            <w:r w:rsidR="000C1ABE">
              <w:rPr>
                <w:noProof/>
                <w:webHidden/>
              </w:rPr>
              <w:tab/>
            </w:r>
            <w:r w:rsidR="000C1ABE">
              <w:rPr>
                <w:noProof/>
                <w:webHidden/>
              </w:rPr>
              <w:fldChar w:fldCharType="begin"/>
            </w:r>
            <w:r w:rsidR="000C1ABE">
              <w:rPr>
                <w:noProof/>
                <w:webHidden/>
              </w:rPr>
              <w:instrText xml:space="preserve"> PAGEREF _Toc92960554 \h </w:instrText>
            </w:r>
            <w:r w:rsidR="000C1ABE">
              <w:rPr>
                <w:noProof/>
                <w:webHidden/>
              </w:rPr>
            </w:r>
            <w:r w:rsidR="000C1ABE">
              <w:rPr>
                <w:noProof/>
                <w:webHidden/>
              </w:rPr>
              <w:fldChar w:fldCharType="separate"/>
            </w:r>
            <w:r w:rsidR="000C1ABE">
              <w:rPr>
                <w:noProof/>
                <w:webHidden/>
              </w:rPr>
              <w:t>35</w:t>
            </w:r>
            <w:r w:rsidR="000C1ABE">
              <w:rPr>
                <w:noProof/>
                <w:webHidden/>
              </w:rPr>
              <w:fldChar w:fldCharType="end"/>
            </w:r>
          </w:hyperlink>
        </w:p>
        <w:p w14:paraId="1E45ABCB" w14:textId="56A2FAE5" w:rsidR="000C1ABE" w:rsidRDefault="00CA4967">
          <w:pPr>
            <w:pStyle w:val="TOC1"/>
            <w:rPr>
              <w:rFonts w:eastAsiaTheme="minorEastAsia"/>
              <w:b w:val="0"/>
              <w:noProof/>
              <w:color w:val="auto"/>
              <w:sz w:val="22"/>
              <w:szCs w:val="22"/>
              <w:lang w:eastAsia="en-GB"/>
            </w:rPr>
          </w:pPr>
          <w:hyperlink w:anchor="_Toc92960555" w:history="1">
            <w:r w:rsidR="000C1ABE" w:rsidRPr="000314CE">
              <w:rPr>
                <w:rStyle w:val="Hyperlink"/>
                <w:rFonts w:eastAsia="Calibri"/>
                <w:noProof/>
              </w:rPr>
              <w:t>Transfer information</w:t>
            </w:r>
            <w:r w:rsidR="000C1ABE">
              <w:rPr>
                <w:noProof/>
                <w:webHidden/>
              </w:rPr>
              <w:tab/>
            </w:r>
            <w:r w:rsidR="000C1ABE">
              <w:rPr>
                <w:noProof/>
                <w:webHidden/>
              </w:rPr>
              <w:fldChar w:fldCharType="begin"/>
            </w:r>
            <w:r w:rsidR="000C1ABE">
              <w:rPr>
                <w:noProof/>
                <w:webHidden/>
              </w:rPr>
              <w:instrText xml:space="preserve"> PAGEREF _Toc92960555 \h </w:instrText>
            </w:r>
            <w:r w:rsidR="000C1ABE">
              <w:rPr>
                <w:noProof/>
                <w:webHidden/>
              </w:rPr>
            </w:r>
            <w:r w:rsidR="000C1ABE">
              <w:rPr>
                <w:noProof/>
                <w:webHidden/>
              </w:rPr>
              <w:fldChar w:fldCharType="separate"/>
            </w:r>
            <w:r w:rsidR="000C1ABE">
              <w:rPr>
                <w:noProof/>
                <w:webHidden/>
              </w:rPr>
              <w:t>40</w:t>
            </w:r>
            <w:r w:rsidR="000C1ABE">
              <w:rPr>
                <w:noProof/>
                <w:webHidden/>
              </w:rPr>
              <w:fldChar w:fldCharType="end"/>
            </w:r>
          </w:hyperlink>
        </w:p>
        <w:p w14:paraId="71DC5D2A" w14:textId="7AC6DD28" w:rsidR="000C1ABE" w:rsidRDefault="00CA4967">
          <w:pPr>
            <w:pStyle w:val="TOC1"/>
            <w:rPr>
              <w:rFonts w:eastAsiaTheme="minorEastAsia"/>
              <w:b w:val="0"/>
              <w:noProof/>
              <w:color w:val="auto"/>
              <w:sz w:val="22"/>
              <w:szCs w:val="22"/>
              <w:lang w:eastAsia="en-GB"/>
            </w:rPr>
          </w:pPr>
          <w:hyperlink w:anchor="_Toc92960556" w:history="1">
            <w:r w:rsidR="000C1ABE" w:rsidRPr="000314CE">
              <w:rPr>
                <w:rStyle w:val="Hyperlink"/>
                <w:rFonts w:eastAsia="Calibri"/>
                <w:noProof/>
              </w:rPr>
              <w:t>Collaboration with the statutory education body and others</w:t>
            </w:r>
            <w:r w:rsidR="000C1ABE">
              <w:rPr>
                <w:noProof/>
                <w:webHidden/>
              </w:rPr>
              <w:tab/>
            </w:r>
            <w:r w:rsidR="000C1ABE">
              <w:rPr>
                <w:noProof/>
                <w:webHidden/>
              </w:rPr>
              <w:fldChar w:fldCharType="begin"/>
            </w:r>
            <w:r w:rsidR="000C1ABE">
              <w:rPr>
                <w:noProof/>
                <w:webHidden/>
              </w:rPr>
              <w:instrText xml:space="preserve"> PAGEREF _Toc92960556 \h </w:instrText>
            </w:r>
            <w:r w:rsidR="000C1ABE">
              <w:rPr>
                <w:noProof/>
                <w:webHidden/>
              </w:rPr>
            </w:r>
            <w:r w:rsidR="000C1ABE">
              <w:rPr>
                <w:noProof/>
                <w:webHidden/>
              </w:rPr>
              <w:fldChar w:fldCharType="separate"/>
            </w:r>
            <w:r w:rsidR="000C1ABE">
              <w:rPr>
                <w:noProof/>
                <w:webHidden/>
              </w:rPr>
              <w:t>40</w:t>
            </w:r>
            <w:r w:rsidR="000C1ABE">
              <w:rPr>
                <w:noProof/>
                <w:webHidden/>
              </w:rPr>
              <w:fldChar w:fldCharType="end"/>
            </w:r>
          </w:hyperlink>
        </w:p>
        <w:p w14:paraId="2DEF0CF8" w14:textId="556FAB52" w:rsidR="000C1ABE" w:rsidRDefault="00CA4967">
          <w:pPr>
            <w:pStyle w:val="TOC1"/>
            <w:rPr>
              <w:rFonts w:eastAsiaTheme="minorEastAsia"/>
              <w:b w:val="0"/>
              <w:noProof/>
              <w:color w:val="auto"/>
              <w:sz w:val="22"/>
              <w:szCs w:val="22"/>
              <w:lang w:eastAsia="en-GB"/>
            </w:rPr>
          </w:pPr>
          <w:hyperlink w:anchor="_Toc92960557" w:history="1">
            <w:r w:rsidR="000C1ABE" w:rsidRPr="000314CE">
              <w:rPr>
                <w:rStyle w:val="Hyperlink"/>
                <w:noProof/>
                <w:lang w:bidi="en-US"/>
              </w:rPr>
              <w:t>Documentary evidence</w:t>
            </w:r>
            <w:r w:rsidR="000C1ABE">
              <w:rPr>
                <w:noProof/>
                <w:webHidden/>
              </w:rPr>
              <w:tab/>
            </w:r>
            <w:r w:rsidR="000C1ABE">
              <w:rPr>
                <w:noProof/>
                <w:webHidden/>
              </w:rPr>
              <w:fldChar w:fldCharType="begin"/>
            </w:r>
            <w:r w:rsidR="000C1ABE">
              <w:rPr>
                <w:noProof/>
                <w:webHidden/>
              </w:rPr>
              <w:instrText xml:space="preserve"> PAGEREF _Toc92960557 \h </w:instrText>
            </w:r>
            <w:r w:rsidR="000C1ABE">
              <w:rPr>
                <w:noProof/>
                <w:webHidden/>
              </w:rPr>
            </w:r>
            <w:r w:rsidR="000C1ABE">
              <w:rPr>
                <w:noProof/>
                <w:webHidden/>
              </w:rPr>
              <w:fldChar w:fldCharType="separate"/>
            </w:r>
            <w:r w:rsidR="000C1ABE">
              <w:rPr>
                <w:noProof/>
                <w:webHidden/>
              </w:rPr>
              <w:t>41</w:t>
            </w:r>
            <w:r w:rsidR="000C1ABE">
              <w:rPr>
                <w:noProof/>
                <w:webHidden/>
              </w:rPr>
              <w:fldChar w:fldCharType="end"/>
            </w:r>
          </w:hyperlink>
        </w:p>
        <w:p w14:paraId="46D1518C" w14:textId="16058B1A" w:rsidR="000C1ABE" w:rsidRDefault="00CA4967">
          <w:pPr>
            <w:pStyle w:val="TOC2"/>
            <w:rPr>
              <w:rFonts w:eastAsiaTheme="minorEastAsia"/>
              <w:b w:val="0"/>
              <w:noProof/>
              <w:color w:val="auto"/>
              <w:sz w:val="22"/>
              <w:szCs w:val="22"/>
              <w:lang w:eastAsia="en-GB"/>
            </w:rPr>
          </w:pPr>
          <w:hyperlink w:anchor="_Toc92960558" w:history="1">
            <w:r w:rsidR="000C1ABE" w:rsidRPr="000314CE">
              <w:rPr>
                <w:rStyle w:val="Hyperlink"/>
                <w:rFonts w:eastAsia="Times New Roman"/>
                <w:noProof/>
                <w:lang w:bidi="en-US"/>
              </w:rPr>
              <w:t>Submitting your documentation to the GPhC</w:t>
            </w:r>
            <w:r w:rsidR="000C1ABE">
              <w:rPr>
                <w:noProof/>
                <w:webHidden/>
              </w:rPr>
              <w:tab/>
            </w:r>
            <w:r w:rsidR="000C1ABE">
              <w:rPr>
                <w:noProof/>
                <w:webHidden/>
              </w:rPr>
              <w:fldChar w:fldCharType="begin"/>
            </w:r>
            <w:r w:rsidR="000C1ABE">
              <w:rPr>
                <w:noProof/>
                <w:webHidden/>
              </w:rPr>
              <w:instrText xml:space="preserve"> PAGEREF _Toc92960558 \h </w:instrText>
            </w:r>
            <w:r w:rsidR="000C1ABE">
              <w:rPr>
                <w:noProof/>
                <w:webHidden/>
              </w:rPr>
            </w:r>
            <w:r w:rsidR="000C1ABE">
              <w:rPr>
                <w:noProof/>
                <w:webHidden/>
              </w:rPr>
              <w:fldChar w:fldCharType="separate"/>
            </w:r>
            <w:r w:rsidR="000C1ABE">
              <w:rPr>
                <w:noProof/>
                <w:webHidden/>
              </w:rPr>
              <w:t>42</w:t>
            </w:r>
            <w:r w:rsidR="000C1ABE">
              <w:rPr>
                <w:noProof/>
                <w:webHidden/>
              </w:rPr>
              <w:fldChar w:fldCharType="end"/>
            </w:r>
          </w:hyperlink>
        </w:p>
        <w:p w14:paraId="4C6A1500" w14:textId="67323E53" w:rsidR="004A30F8" w:rsidRDefault="009A561D">
          <w:pPr>
            <w:rPr>
              <w:bCs/>
              <w:noProof/>
            </w:rPr>
          </w:pPr>
          <w:r>
            <w:rPr>
              <w:b/>
              <w:bCs/>
              <w:noProof/>
            </w:rPr>
            <w:fldChar w:fldCharType="end"/>
          </w:r>
        </w:p>
      </w:sdtContent>
    </w:sdt>
    <w:p w14:paraId="4F56934F" w14:textId="7DA1DC77" w:rsidR="004A30F8" w:rsidRPr="00ED556F" w:rsidRDefault="004A30F8" w:rsidP="004A30F8">
      <w:pPr>
        <w:rPr>
          <w:rFonts w:ascii="Calibri" w:hAnsi="Calibri" w:cstheme="minorHAnsi"/>
          <w:b/>
          <w:bCs/>
          <w:u w:val="single"/>
          <w:lang w:eastAsia="en-GB"/>
        </w:rPr>
      </w:pPr>
      <w:r w:rsidRPr="00ED556F">
        <w:rPr>
          <w:rFonts w:ascii="Calibri" w:hAnsi="Calibri" w:cstheme="minorHAnsi"/>
          <w:b/>
          <w:bCs/>
          <w:u w:val="single"/>
          <w:lang w:eastAsia="en-GB"/>
        </w:rPr>
        <w:t xml:space="preserve">Please update contents table </w:t>
      </w:r>
      <w:r w:rsidR="00705788" w:rsidRPr="00ED556F">
        <w:rPr>
          <w:rFonts w:ascii="Calibri" w:hAnsi="Calibri" w:cstheme="minorHAnsi"/>
          <w:b/>
          <w:bCs/>
          <w:u w:val="single"/>
          <w:lang w:eastAsia="en-GB"/>
        </w:rPr>
        <w:t xml:space="preserve">page numbers </w:t>
      </w:r>
      <w:r w:rsidRPr="00ED556F">
        <w:rPr>
          <w:rFonts w:ascii="Calibri" w:hAnsi="Calibri" w:cstheme="minorHAnsi"/>
          <w:b/>
          <w:bCs/>
          <w:u w:val="single"/>
          <w:lang w:eastAsia="en-GB"/>
        </w:rPr>
        <w:t>before submitting to the GPhC (right click update field).</w:t>
      </w:r>
    </w:p>
    <w:p w14:paraId="7913DFD4" w14:textId="3947D484" w:rsidR="004006D7" w:rsidRDefault="004006D7">
      <w:r>
        <w:br w:type="page"/>
      </w:r>
    </w:p>
    <w:p w14:paraId="4FDC0003" w14:textId="77777777" w:rsidR="00951F71" w:rsidRPr="00ED556F" w:rsidRDefault="00951F71" w:rsidP="004A30F8">
      <w:pPr>
        <w:pStyle w:val="Heading1"/>
        <w:rPr>
          <w:sz w:val="40"/>
          <w:szCs w:val="40"/>
          <w:lang w:eastAsia="en-GB"/>
        </w:rPr>
      </w:pPr>
      <w:bookmarkStart w:id="1" w:name="_Toc92960538"/>
      <w:bookmarkStart w:id="2" w:name="_Toc80706910"/>
      <w:r w:rsidRPr="00ED556F">
        <w:rPr>
          <w:sz w:val="40"/>
          <w:szCs w:val="40"/>
          <w:lang w:eastAsia="en-GB"/>
        </w:rPr>
        <w:lastRenderedPageBreak/>
        <w:t>Guidance</w:t>
      </w:r>
      <w:bookmarkEnd w:id="1"/>
      <w:r w:rsidRPr="00ED556F">
        <w:rPr>
          <w:sz w:val="40"/>
          <w:szCs w:val="40"/>
          <w:lang w:eastAsia="en-GB"/>
        </w:rPr>
        <w:t xml:space="preserve"> </w:t>
      </w:r>
    </w:p>
    <w:p w14:paraId="6BF19E54" w14:textId="6B41A175" w:rsidR="004A30F8" w:rsidRPr="0058214E" w:rsidRDefault="004A30F8" w:rsidP="00ED556F">
      <w:pPr>
        <w:rPr>
          <w:bCs/>
          <w:lang w:eastAsia="en-GB"/>
        </w:rPr>
      </w:pPr>
      <w:bookmarkStart w:id="3" w:name="_Hlk82589048"/>
      <w:r w:rsidRPr="00ED556F">
        <w:rPr>
          <w:b/>
          <w:bCs/>
          <w:u w:val="single"/>
          <w:lang w:eastAsia="en-GB"/>
        </w:rPr>
        <w:t>Important</w:t>
      </w:r>
      <w:r w:rsidR="00AB2432" w:rsidRPr="00ED556F">
        <w:rPr>
          <w:b/>
          <w:bCs/>
          <w:lang w:eastAsia="en-GB"/>
        </w:rPr>
        <w:t xml:space="preserve"> </w:t>
      </w:r>
      <w:r w:rsidRPr="00ED556F">
        <w:rPr>
          <w:b/>
          <w:bCs/>
          <w:lang w:eastAsia="en-GB"/>
        </w:rPr>
        <w:t>please read the guidance below before completing the template</w:t>
      </w:r>
      <w:bookmarkEnd w:id="2"/>
      <w:r w:rsidRPr="00ED556F">
        <w:rPr>
          <w:b/>
          <w:bCs/>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bookmarkEnd w:id="3"/>
          <w:p w14:paraId="54C0104D" w14:textId="77777777" w:rsidR="00951F71" w:rsidRDefault="00317480" w:rsidP="009347CB">
            <w:pPr>
              <w:rPr>
                <w:rFonts w:ascii="Calibri" w:hAnsi="Calibri" w:cs="Arial"/>
                <w:b/>
                <w:color w:val="00759B" w:themeColor="accent1"/>
              </w:rPr>
            </w:pPr>
            <w:r w:rsidRPr="00951F71">
              <w:rPr>
                <w:rFonts w:ascii="Calibri" w:hAnsi="Calibri" w:cs="Arial"/>
                <w:b/>
                <w:color w:val="00759B" w:themeColor="accent1"/>
              </w:rPr>
              <w:t>This template</w:t>
            </w:r>
          </w:p>
          <w:p w14:paraId="4C06C8B5" w14:textId="77777777" w:rsidR="00257E2D" w:rsidRDefault="00951F71" w:rsidP="009347CB">
            <w:pPr>
              <w:rPr>
                <w:rFonts w:ascii="Calibri" w:hAnsi="Calibri" w:cs="Arial"/>
                <w:bCs/>
                <w:color w:val="00759B" w:themeColor="accent1"/>
              </w:rPr>
            </w:pPr>
            <w:r>
              <w:rPr>
                <w:rFonts w:ascii="Calibri" w:hAnsi="Calibri" w:cs="Arial"/>
                <w:bCs/>
                <w:color w:val="00759B" w:themeColor="accent1"/>
              </w:rPr>
              <w:t>Please use this template</w:t>
            </w:r>
            <w:r w:rsidR="00317480" w:rsidRPr="00ED556F">
              <w:rPr>
                <w:rFonts w:ascii="Calibri" w:hAnsi="Calibri" w:cs="Arial"/>
                <w:bCs/>
                <w:color w:val="00759B" w:themeColor="accent1"/>
              </w:rPr>
              <w:t xml:space="preserve"> to demonstrate how your </w:t>
            </w:r>
            <w:r w:rsidR="001704D6" w:rsidRPr="00ED556F">
              <w:rPr>
                <w:rFonts w:ascii="Calibri" w:hAnsi="Calibri" w:cs="Arial"/>
                <w:bCs/>
                <w:color w:val="00759B" w:themeColor="accent1"/>
              </w:rPr>
              <w:t>programme</w:t>
            </w:r>
            <w:r w:rsidR="00317480" w:rsidRPr="00ED556F">
              <w:rPr>
                <w:rFonts w:ascii="Calibri" w:hAnsi="Calibri" w:cs="Arial"/>
                <w:bCs/>
                <w:color w:val="00759B" w:themeColor="accent1"/>
              </w:rPr>
              <w:t xml:space="preserve"> and institution </w:t>
            </w:r>
            <w:r w:rsidR="00CE2031" w:rsidRPr="00ED556F">
              <w:rPr>
                <w:rFonts w:ascii="Calibri" w:hAnsi="Calibri" w:cs="Arial"/>
                <w:bCs/>
                <w:color w:val="00759B" w:themeColor="accent1"/>
              </w:rPr>
              <w:t xml:space="preserve">meets or </w:t>
            </w:r>
            <w:r w:rsidR="00317480" w:rsidRPr="00ED556F">
              <w:rPr>
                <w:rFonts w:ascii="Calibri" w:hAnsi="Calibri" w:cs="Arial"/>
                <w:bCs/>
                <w:color w:val="00759B" w:themeColor="accent1"/>
              </w:rPr>
              <w:t xml:space="preserve">will meet </w:t>
            </w:r>
            <w:hyperlink r:id="rId11" w:history="1">
              <w:r w:rsidR="00821B60" w:rsidRPr="0058214E">
                <w:rPr>
                  <w:rStyle w:val="Hyperlink"/>
                  <w:rFonts w:ascii="Calibri" w:hAnsi="Calibri" w:cs="Arial"/>
                  <w:bCs/>
                  <w:color w:val="00759B" w:themeColor="accent1"/>
                </w:rPr>
                <w:t xml:space="preserve">the </w:t>
              </w:r>
              <w:r w:rsidR="00597225">
                <w:rPr>
                  <w:rStyle w:val="Hyperlink"/>
                  <w:rFonts w:ascii="Calibri" w:hAnsi="Calibri" w:cs="Arial"/>
                  <w:bCs/>
                  <w:color w:val="00759B" w:themeColor="accent1"/>
                </w:rPr>
                <w:t>G</w:t>
              </w:r>
              <w:r w:rsidR="00597225" w:rsidRPr="00ED556F">
                <w:rPr>
                  <w:rStyle w:val="Hyperlink"/>
                  <w:bCs/>
                  <w:color w:val="00759B" w:themeColor="accent1"/>
                </w:rPr>
                <w:t xml:space="preserve">PhC </w:t>
              </w:r>
              <w:r w:rsidR="00597225">
                <w:rPr>
                  <w:rStyle w:val="Hyperlink"/>
                  <w:bCs/>
                  <w:color w:val="00759B" w:themeColor="accent1"/>
                </w:rPr>
                <w:t>S</w:t>
              </w:r>
              <w:r w:rsidR="00821B60" w:rsidRPr="00ED556F">
                <w:rPr>
                  <w:rStyle w:val="Hyperlink"/>
                  <w:rFonts w:ascii="Calibri" w:hAnsi="Calibri" w:cs="Arial"/>
                  <w:bCs/>
                  <w:color w:val="00759B" w:themeColor="accent1"/>
                </w:rPr>
                <w:t>tandards for the initial education and training of pharmacists</w:t>
              </w:r>
              <w:r w:rsidR="00597225">
                <w:rPr>
                  <w:rStyle w:val="Hyperlink"/>
                  <w:rFonts w:ascii="Calibri" w:hAnsi="Calibri" w:cs="Arial"/>
                  <w:bCs/>
                  <w:color w:val="00759B" w:themeColor="accent1"/>
                </w:rPr>
                <w:t xml:space="preserve">, </w:t>
              </w:r>
              <w:r w:rsidR="00821B60" w:rsidRPr="00ED556F">
                <w:rPr>
                  <w:rStyle w:val="Hyperlink"/>
                  <w:rFonts w:ascii="Calibri" w:hAnsi="Calibri" w:cs="Arial"/>
                  <w:bCs/>
                  <w:color w:val="00759B" w:themeColor="accent1"/>
                </w:rPr>
                <w:t>January 2021</w:t>
              </w:r>
            </w:hyperlink>
            <w:r w:rsidR="001704D6" w:rsidRPr="00ED556F">
              <w:rPr>
                <w:rFonts w:ascii="Calibri" w:hAnsi="Calibri" w:cs="Arial"/>
                <w:bCs/>
                <w:color w:val="00759B" w:themeColor="accent1"/>
              </w:rPr>
              <w:t xml:space="preserve"> in relation to </w:t>
            </w:r>
            <w:r w:rsidR="00257E2D">
              <w:rPr>
                <w:rFonts w:ascii="Calibri" w:hAnsi="Calibri" w:cs="Arial"/>
                <w:bCs/>
                <w:color w:val="00759B" w:themeColor="accent1"/>
              </w:rPr>
              <w:t>:</w:t>
            </w:r>
          </w:p>
          <w:p w14:paraId="33BBA170" w14:textId="2C31728F" w:rsidR="00951F71" w:rsidRDefault="001704D6" w:rsidP="001B7D28">
            <w:pPr>
              <w:pStyle w:val="ListParagraph"/>
              <w:numPr>
                <w:ilvl w:val="0"/>
                <w:numId w:val="31"/>
              </w:numPr>
              <w:rPr>
                <w:rFonts w:ascii="Calibri" w:hAnsi="Calibri" w:cs="Arial"/>
                <w:bCs/>
                <w:color w:val="00759B" w:themeColor="accent1"/>
              </w:rPr>
            </w:pPr>
            <w:r w:rsidRPr="00257E2D">
              <w:rPr>
                <w:rFonts w:ascii="Calibri" w:hAnsi="Calibri" w:cs="Arial"/>
                <w:bCs/>
                <w:color w:val="00759B" w:themeColor="accent1"/>
              </w:rPr>
              <w:t>Master of Pharmacy (MPharm) degree</w:t>
            </w:r>
          </w:p>
          <w:p w14:paraId="17A45C2B" w14:textId="78D9E2C7" w:rsidR="00257E2D" w:rsidRDefault="00257E2D" w:rsidP="001B7D28">
            <w:pPr>
              <w:pStyle w:val="ListParagraph"/>
              <w:numPr>
                <w:ilvl w:val="0"/>
                <w:numId w:val="31"/>
              </w:numPr>
              <w:rPr>
                <w:rFonts w:ascii="Calibri" w:hAnsi="Calibri" w:cs="Arial"/>
                <w:bCs/>
                <w:color w:val="00759B" w:themeColor="accent1"/>
              </w:rPr>
            </w:pPr>
            <w:r>
              <w:rPr>
                <w:rFonts w:ascii="Calibri" w:hAnsi="Calibri" w:cs="Arial"/>
                <w:bCs/>
                <w:color w:val="00759B" w:themeColor="accent1"/>
              </w:rPr>
              <w:t xml:space="preserve">Master of Pharmacy (MPharm) degree with preparatory year </w:t>
            </w:r>
          </w:p>
          <w:p w14:paraId="723E0023" w14:textId="4382347C" w:rsidR="00951F71" w:rsidRDefault="00951F71" w:rsidP="009347CB">
            <w:pPr>
              <w:rPr>
                <w:rFonts w:ascii="Calibri" w:hAnsi="Calibri" w:cs="Arial"/>
                <w:b/>
                <w:color w:val="00759B" w:themeColor="accent1"/>
              </w:rPr>
            </w:pPr>
            <w:r>
              <w:rPr>
                <w:rFonts w:ascii="Calibri" w:hAnsi="Calibri" w:cs="Arial"/>
                <w:b/>
                <w:color w:val="00759B" w:themeColor="accent1"/>
              </w:rPr>
              <w:t xml:space="preserve">MPharm degree with preparatory year </w:t>
            </w:r>
          </w:p>
          <w:p w14:paraId="3376924A" w14:textId="26E845D9" w:rsidR="00951F71" w:rsidRPr="00ED556F" w:rsidRDefault="00951F71" w:rsidP="009347CB">
            <w:pPr>
              <w:rPr>
                <w:rFonts w:ascii="Calibri" w:hAnsi="Calibri" w:cs="Arial"/>
                <w:bCs/>
                <w:color w:val="00759B" w:themeColor="accent1"/>
              </w:rPr>
            </w:pPr>
            <w:r w:rsidRPr="00ED556F">
              <w:rPr>
                <w:rFonts w:ascii="Calibri" w:hAnsi="Calibri" w:cs="Arial"/>
                <w:bCs/>
                <w:color w:val="00759B" w:themeColor="accent1"/>
              </w:rPr>
              <w:t>If you</w:t>
            </w:r>
            <w:r>
              <w:rPr>
                <w:rFonts w:ascii="Calibri" w:hAnsi="Calibri" w:cs="Arial"/>
                <w:bCs/>
                <w:color w:val="00759B" w:themeColor="accent1"/>
              </w:rPr>
              <w:t>r institution</w:t>
            </w:r>
            <w:r w:rsidRPr="00ED556F">
              <w:rPr>
                <w:rFonts w:ascii="Calibri" w:hAnsi="Calibri" w:cs="Arial"/>
                <w:bCs/>
                <w:color w:val="00759B" w:themeColor="accent1"/>
              </w:rPr>
              <w:t xml:space="preserve"> </w:t>
            </w:r>
            <w:r w:rsidR="0058214E">
              <w:rPr>
                <w:rFonts w:ascii="Calibri" w:hAnsi="Calibri" w:cs="Arial"/>
                <w:bCs/>
                <w:color w:val="00759B" w:themeColor="accent1"/>
              </w:rPr>
              <w:t xml:space="preserve">also </w:t>
            </w:r>
            <w:r w:rsidRPr="00ED556F">
              <w:rPr>
                <w:rFonts w:ascii="Calibri" w:hAnsi="Calibri" w:cs="Arial"/>
                <w:bCs/>
                <w:color w:val="00759B" w:themeColor="accent1"/>
              </w:rPr>
              <w:t>offer</w:t>
            </w:r>
            <w:r>
              <w:rPr>
                <w:rFonts w:ascii="Calibri" w:hAnsi="Calibri" w:cs="Arial"/>
                <w:bCs/>
                <w:color w:val="00759B" w:themeColor="accent1"/>
              </w:rPr>
              <w:t>s</w:t>
            </w:r>
            <w:r w:rsidRPr="00ED556F">
              <w:rPr>
                <w:rFonts w:ascii="Calibri" w:hAnsi="Calibri" w:cs="Arial"/>
                <w:bCs/>
                <w:color w:val="00759B" w:themeColor="accent1"/>
              </w:rPr>
              <w:t xml:space="preserve"> an MPharm degree with preparatory year, please include information relating to both </w:t>
            </w:r>
            <w:r>
              <w:rPr>
                <w:rFonts w:ascii="Calibri" w:hAnsi="Calibri" w:cs="Arial"/>
                <w:bCs/>
                <w:color w:val="00759B" w:themeColor="accent1"/>
              </w:rPr>
              <w:t xml:space="preserve">your MPharm degree and MPharm with preparatory year </w:t>
            </w:r>
            <w:r w:rsidR="00B52D7F">
              <w:rPr>
                <w:rFonts w:ascii="Calibri" w:hAnsi="Calibri" w:cs="Arial"/>
                <w:bCs/>
                <w:color w:val="00759B" w:themeColor="accent1"/>
              </w:rPr>
              <w:t>within t</w:t>
            </w:r>
            <w:r w:rsidR="006A28A8">
              <w:rPr>
                <w:rFonts w:ascii="Calibri" w:hAnsi="Calibri" w:cs="Arial"/>
                <w:bCs/>
                <w:color w:val="00759B" w:themeColor="accent1"/>
              </w:rPr>
              <w:t>he</w:t>
            </w:r>
            <w:r w:rsidR="00B52D7F">
              <w:rPr>
                <w:rFonts w:ascii="Calibri" w:hAnsi="Calibri" w:cs="Arial"/>
                <w:bCs/>
                <w:color w:val="00759B" w:themeColor="accent1"/>
              </w:rPr>
              <w:t xml:space="preserve"> same template. Please </w:t>
            </w:r>
            <w:r>
              <w:rPr>
                <w:rFonts w:ascii="Calibri" w:hAnsi="Calibri" w:cs="Arial"/>
                <w:bCs/>
                <w:color w:val="00759B" w:themeColor="accent1"/>
              </w:rPr>
              <w:t xml:space="preserve">set out clearly which information </w:t>
            </w:r>
            <w:r w:rsidR="00FC724A">
              <w:rPr>
                <w:rFonts w:ascii="Calibri" w:hAnsi="Calibri" w:cs="Arial"/>
                <w:bCs/>
                <w:color w:val="00759B" w:themeColor="accent1"/>
              </w:rPr>
              <w:t>is specific</w:t>
            </w:r>
            <w:r>
              <w:rPr>
                <w:rFonts w:ascii="Calibri" w:hAnsi="Calibri" w:cs="Arial"/>
                <w:bCs/>
                <w:color w:val="00759B" w:themeColor="accent1"/>
              </w:rPr>
              <w:t xml:space="preserve"> to the MPharm degree with preparatory year. Please refer to </w:t>
            </w:r>
            <w:hyperlink r:id="rId12" w:history="1">
              <w:r w:rsidR="00D5777A" w:rsidRPr="0011023F">
                <w:rPr>
                  <w:rStyle w:val="Hyperlink"/>
                  <w:rFonts w:ascii="Calibri" w:hAnsi="Calibri" w:cs="Arial"/>
                  <w:color w:val="00759B" w:themeColor="accent1"/>
                </w:rPr>
                <w:t>MPharm degrees with preparatory year – guidance for schools of pharmacy, 2021-22</w:t>
              </w:r>
            </w:hyperlink>
            <w:r w:rsidRPr="00ED556F">
              <w:rPr>
                <w:rFonts w:ascii="Calibri" w:hAnsi="Calibri" w:cs="Arial"/>
                <w:b/>
                <w:color w:val="00759B" w:themeColor="accent1"/>
                <w:u w:val="single"/>
              </w:rPr>
              <w:t>,</w:t>
            </w:r>
            <w:r>
              <w:rPr>
                <w:rFonts w:ascii="Calibri" w:hAnsi="Calibri" w:cs="Arial"/>
                <w:bCs/>
                <w:color w:val="00759B" w:themeColor="accent1"/>
              </w:rPr>
              <w:t xml:space="preserve"> </w:t>
            </w:r>
            <w:r w:rsidR="005273DD">
              <w:rPr>
                <w:rFonts w:ascii="Calibri" w:hAnsi="Calibri" w:cs="Arial"/>
                <w:bCs/>
                <w:color w:val="00759B" w:themeColor="accent1"/>
              </w:rPr>
              <w:t xml:space="preserve">for more information. </w:t>
            </w:r>
          </w:p>
          <w:p w14:paraId="40F73B0F" w14:textId="1B07407B" w:rsidR="00951F71" w:rsidRPr="00821B60" w:rsidRDefault="005273DD" w:rsidP="009347CB">
            <w:pPr>
              <w:rPr>
                <w:rFonts w:ascii="Calibri" w:hAnsi="Calibri" w:cs="Arial"/>
                <w:b/>
                <w:color w:val="00759B" w:themeColor="accent1"/>
              </w:rPr>
            </w:pPr>
            <w:r>
              <w:rPr>
                <w:rFonts w:ascii="Calibri" w:hAnsi="Calibri" w:cs="Arial"/>
                <w:b/>
                <w:color w:val="00759B" w:themeColor="accent1"/>
              </w:rPr>
              <w:t>Completing this template</w:t>
            </w:r>
            <w:r w:rsidR="00BC02B8">
              <w:rPr>
                <w:rFonts w:ascii="Calibri" w:hAnsi="Calibri" w:cs="Arial"/>
                <w:b/>
                <w:color w:val="00759B" w:themeColor="accent1"/>
              </w:rPr>
              <w:t xml:space="preserve"> and providing supporting evidence</w:t>
            </w:r>
          </w:p>
          <w:p w14:paraId="410B525B" w14:textId="5C9EED36" w:rsidR="006E603E" w:rsidRPr="00821B60" w:rsidRDefault="00E77DE8" w:rsidP="006E603E">
            <w:pPr>
              <w:rPr>
                <w:rFonts w:ascii="Calibri" w:hAnsi="Calibri" w:cs="Arial"/>
                <w:bCs/>
                <w:color w:val="00759B" w:themeColor="accent1"/>
                <w:lang w:bidi="en-US"/>
              </w:rPr>
            </w:pPr>
            <w:r>
              <w:rPr>
                <w:rFonts w:ascii="Calibri" w:hAnsi="Calibri" w:cs="Arial"/>
                <w:bCs/>
                <w:color w:val="00759B" w:themeColor="accent1"/>
                <w:lang w:bidi="en-US"/>
              </w:rPr>
              <w:t xml:space="preserve">Your </w:t>
            </w:r>
            <w:r w:rsidR="006E603E" w:rsidRPr="00821B60">
              <w:rPr>
                <w:rFonts w:ascii="Calibri" w:hAnsi="Calibri" w:cs="Arial"/>
                <w:bCs/>
                <w:color w:val="00759B" w:themeColor="accent1"/>
                <w:lang w:bidi="en-US"/>
              </w:rPr>
              <w:t xml:space="preserve">submission document should be a single document which includes this template complete in full. </w:t>
            </w:r>
          </w:p>
          <w:p w14:paraId="6A633789" w14:textId="7E34A655"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 xml:space="preserve">You should provide documentary evidence as appendices </w:t>
            </w:r>
            <w:r>
              <w:rPr>
                <w:rFonts w:ascii="Calibri" w:hAnsi="Calibri" w:cs="Arial"/>
                <w:bCs/>
                <w:color w:val="00759B"/>
                <w:lang w:bidi="en-US"/>
              </w:rPr>
              <w:t xml:space="preserve">and </w:t>
            </w:r>
            <w:r w:rsidR="008431FB">
              <w:rPr>
                <w:rFonts w:ascii="Calibri" w:hAnsi="Calibri" w:cs="Arial"/>
                <w:bCs/>
                <w:color w:val="00759B"/>
                <w:lang w:bidi="en-US"/>
              </w:rPr>
              <w:t>t</w:t>
            </w:r>
            <w:r w:rsidR="008431FB">
              <w:rPr>
                <w:rFonts w:ascii="Calibri" w:hAnsi="Calibri" w:cs="Arial"/>
                <w:color w:val="00759B"/>
                <w:lang w:bidi="en-US"/>
              </w:rPr>
              <w:t xml:space="preserve">hese </w:t>
            </w:r>
            <w:r>
              <w:rPr>
                <w:rFonts w:ascii="Calibri" w:hAnsi="Calibri" w:cs="Arial"/>
                <w:bCs/>
                <w:color w:val="00759B"/>
                <w:lang w:bidi="en-US"/>
              </w:rPr>
              <w:t>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8431FB">
              <w:rPr>
                <w:rFonts w:ascii="Calibri" w:hAnsi="Calibri" w:cs="Arial"/>
                <w:bCs/>
                <w:color w:val="00759B" w:themeColor="accent1"/>
                <w:lang w:bidi="en-US"/>
              </w:rPr>
              <w:t xml:space="preserve">The suggested number of appendices is no more than 35 documents. </w:t>
            </w:r>
          </w:p>
          <w:p w14:paraId="7B5671BC" w14:textId="58FBF4A4"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accreditation event.</w:t>
            </w:r>
          </w:p>
          <w:p w14:paraId="3E5639E0" w14:textId="44DE0B62"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0CF71487" w14:textId="4B862037" w:rsidR="006E603E" w:rsidRDefault="006E603E" w:rsidP="006E603E">
            <w:pPr>
              <w:pStyle w:val="BodyText"/>
              <w:rPr>
                <w:bCs/>
                <w:color w:val="00759B" w:themeColor="accent1"/>
              </w:rPr>
            </w:pPr>
            <w:r w:rsidRPr="00ED556F">
              <w:rPr>
                <w:bCs/>
                <w:color w:val="00759B" w:themeColor="accent1"/>
              </w:rPr>
              <w:t xml:space="preserve">When completing your submission template, </w:t>
            </w:r>
            <w:r w:rsidR="00FC724A">
              <w:rPr>
                <w:bCs/>
                <w:color w:val="00759B" w:themeColor="accent1"/>
              </w:rPr>
              <w:t xml:space="preserve">please </w:t>
            </w:r>
            <w:r w:rsidRPr="00ED556F">
              <w:rPr>
                <w:bCs/>
                <w:color w:val="00759B" w:themeColor="accent1"/>
              </w:rPr>
              <w:t>do not alter the formatting or orientation of the submission template.</w:t>
            </w:r>
          </w:p>
          <w:p w14:paraId="393571E0" w14:textId="781D8A8B" w:rsidR="008431FB" w:rsidRPr="008431FB" w:rsidRDefault="008431FB" w:rsidP="006E603E">
            <w:pPr>
              <w:pStyle w:val="BodyText"/>
              <w:rPr>
                <w:b/>
                <w:color w:val="00759B" w:themeColor="accent1"/>
              </w:rPr>
            </w:pPr>
            <w:r>
              <w:rPr>
                <w:b/>
                <w:color w:val="00759B" w:themeColor="accent1"/>
              </w:rPr>
              <w:t>Support and further information</w:t>
            </w:r>
          </w:p>
          <w:p w14:paraId="7DDB43D3" w14:textId="77777777" w:rsidR="006E603E" w:rsidRPr="00ED556F" w:rsidRDefault="006E603E" w:rsidP="006E603E">
            <w:pPr>
              <w:rPr>
                <w:rStyle w:val="Hyperlink"/>
                <w:rFonts w:ascii="Calibri" w:hAnsi="Calibri" w:cs="Arial"/>
                <w:bCs/>
                <w:color w:val="00759B" w:themeColor="accent1"/>
              </w:rPr>
            </w:pPr>
            <w:r w:rsidRPr="00ED556F">
              <w:rPr>
                <w:rFonts w:ascii="Calibri" w:hAnsi="Calibri" w:cs="Arial"/>
                <w:bCs/>
                <w:color w:val="00759B" w:themeColor="accent1"/>
              </w:rPr>
              <w:t xml:space="preserve">If you have any questions regarding your accreditation submission, please contact the GPhC’s Education (Quality Assurance) team at </w:t>
            </w:r>
            <w:hyperlink r:id="rId13" w:history="1">
              <w:r w:rsidRPr="00ED556F">
                <w:rPr>
                  <w:rStyle w:val="Hyperlink"/>
                  <w:rFonts w:ascii="Calibri" w:hAnsi="Calibri" w:cs="Arial"/>
                  <w:bCs/>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4"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Pr="00705788" w:rsidRDefault="004A30F8" w:rsidP="009A561D">
      <w:pPr>
        <w:pStyle w:val="NormalIndent"/>
        <w:ind w:left="0"/>
      </w:pPr>
      <w:r w:rsidRPr="00ED556F">
        <w:rPr>
          <w:b/>
          <w:bCs/>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F64D55">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1B7D28">
            <w:pPr>
              <w:numPr>
                <w:ilvl w:val="0"/>
                <w:numId w:val="28"/>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1B7D28">
            <w:pPr>
              <w:numPr>
                <w:ilvl w:val="0"/>
                <w:numId w:val="28"/>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1B7D28">
            <w:pPr>
              <w:numPr>
                <w:ilvl w:val="0"/>
                <w:numId w:val="28"/>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1B7D28">
            <w:pPr>
              <w:numPr>
                <w:ilvl w:val="0"/>
                <w:numId w:val="28"/>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1B7D28">
            <w:pPr>
              <w:numPr>
                <w:ilvl w:val="0"/>
                <w:numId w:val="28"/>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1B7D28">
            <w:pPr>
              <w:numPr>
                <w:ilvl w:val="0"/>
                <w:numId w:val="28"/>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1B7D28">
            <w:pPr>
              <w:numPr>
                <w:ilvl w:val="0"/>
                <w:numId w:val="28"/>
              </w:numPr>
              <w:rPr>
                <w:rFonts w:ascii="Calibri" w:hAnsi="Calibri" w:cs="Arial"/>
                <w:b/>
                <w:bCs/>
                <w:color w:val="00759B"/>
                <w:lang w:bidi="en-US"/>
              </w:rPr>
            </w:pPr>
            <w:r w:rsidRPr="00114D73">
              <w:rPr>
                <w:rFonts w:ascii="Calibri" w:hAnsi="Calibri" w:cs="Arial"/>
                <w:color w:val="00759B"/>
              </w:rPr>
              <w:t xml:space="preserve">Should your commentary relate to more than one criterion, it does not need to be repeated. Simply include a note referencing to the relevant commentary, </w:t>
            </w:r>
            <w:proofErr w:type="gramStart"/>
            <w:r w:rsidRPr="00114D73">
              <w:rPr>
                <w:rFonts w:ascii="Calibri" w:hAnsi="Calibri" w:cs="Arial"/>
                <w:color w:val="00759B"/>
              </w:rPr>
              <w:t>e.g.</w:t>
            </w:r>
            <w:proofErr w:type="gramEnd"/>
            <w:r w:rsidRPr="00114D73">
              <w:rPr>
                <w:rFonts w:ascii="Calibri" w:hAnsi="Calibri" w:cs="Arial"/>
                <w:color w:val="00759B"/>
              </w:rPr>
              <w:t xml:space="preserve">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1B7D28">
            <w:pPr>
              <w:keepNext/>
              <w:widowControl w:val="0"/>
              <w:numPr>
                <w:ilvl w:val="0"/>
                <w:numId w:val="28"/>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proofErr w:type="gramStart"/>
            <w:r>
              <w:rPr>
                <w:rFonts w:ascii="Calibri" w:hAnsi="Calibri"/>
                <w:color w:val="00759B"/>
              </w:rPr>
              <w:t>e.g.</w:t>
            </w:r>
            <w:proofErr w:type="gramEnd"/>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1B7D28">
            <w:pPr>
              <w:keepNext/>
              <w:widowControl w:val="0"/>
              <w:numPr>
                <w:ilvl w:val="0"/>
                <w:numId w:val="28"/>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1B7D28">
            <w:pPr>
              <w:numPr>
                <w:ilvl w:val="0"/>
                <w:numId w:val="28"/>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w:t>
            </w:r>
            <w:proofErr w:type="gramStart"/>
            <w:r>
              <w:rPr>
                <w:rFonts w:ascii="Calibri" w:hAnsi="Calibri" w:cs="Arial"/>
                <w:bCs/>
                <w:color w:val="00759B"/>
                <w:lang w:bidi="en-US"/>
              </w:rPr>
              <w:t>e.g.</w:t>
            </w:r>
            <w:proofErr w:type="gramEnd"/>
            <w:r>
              <w:rPr>
                <w:rFonts w:ascii="Calibri" w:hAnsi="Calibri" w:cs="Arial"/>
                <w:bCs/>
                <w:color w:val="00759B"/>
                <w:lang w:bidi="en-US"/>
              </w:rPr>
              <w:t xml:space="preserve"> </w:t>
            </w:r>
            <w:r w:rsidRPr="00D20BD3">
              <w:rPr>
                <w:rFonts w:ascii="Calibri" w:hAnsi="Calibri" w:cs="Arial"/>
                <w:b/>
                <w:bCs/>
                <w:color w:val="00759B"/>
                <w:lang w:bidi="en-US"/>
              </w:rPr>
              <w:t>Programme Application form (Appendix 1)</w:t>
            </w:r>
          </w:p>
          <w:p w14:paraId="6BFAF70F" w14:textId="77777777" w:rsidR="006E603E" w:rsidRPr="00114D73" w:rsidRDefault="006E603E" w:rsidP="001B7D28">
            <w:pPr>
              <w:pStyle w:val="ListParagraph"/>
              <w:numPr>
                <w:ilvl w:val="0"/>
                <w:numId w:val="28"/>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15E4F077" w14:textId="77777777" w:rsidR="006E603E" w:rsidRPr="00114D73" w:rsidRDefault="006E603E" w:rsidP="001B7D28">
            <w:pPr>
              <w:pStyle w:val="ListParagraph"/>
              <w:numPr>
                <w:ilvl w:val="0"/>
                <w:numId w:val="28"/>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1B7D28">
            <w:pPr>
              <w:pStyle w:val="ListParagraph"/>
              <w:numPr>
                <w:ilvl w:val="0"/>
                <w:numId w:val="28"/>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Pr="00ED556F" w:rsidRDefault="004A30F8" w:rsidP="004A30F8">
      <w:pPr>
        <w:rPr>
          <w:b/>
          <w:bCs/>
          <w:u w:val="single"/>
        </w:rPr>
      </w:pPr>
      <w:r w:rsidRPr="00ED556F">
        <w:rPr>
          <w:b/>
          <w:bCs/>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3D8A0FA8" w14:textId="012570D3" w:rsidR="00D509AA" w:rsidRPr="00D509AA" w:rsidRDefault="004006D7" w:rsidP="00ED556F">
      <w:pPr>
        <w:pStyle w:val="Heading1"/>
      </w:pPr>
      <w:bookmarkStart w:id="5" w:name="_Toc92960539"/>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63A6AC87" w:rsidR="004006D7" w:rsidRDefault="002B3488" w:rsidP="004006D7">
            <w:pPr>
              <w:keepNext/>
              <w:tabs>
                <w:tab w:val="left" w:pos="709"/>
              </w:tabs>
              <w:spacing w:line="360" w:lineRule="auto"/>
              <w:rPr>
                <w:rFonts w:ascii="Calibri" w:eastAsia="Calibri" w:hAnsi="Calibri" w:cs="Arial"/>
                <w:b/>
                <w:bCs/>
                <w:lang w:bidi="en-US"/>
              </w:rPr>
            </w:pPr>
            <w:bookmarkStart w:id="6"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w:t>
            </w:r>
            <w:r w:rsidR="003C5E4A">
              <w:rPr>
                <w:rFonts w:ascii="Calibri" w:eastAsia="Calibri" w:hAnsi="Calibri" w:cs="Arial"/>
                <w:b/>
                <w:bCs/>
                <w:lang w:bidi="en-US"/>
              </w:rPr>
              <w:t>(s)</w:t>
            </w:r>
            <w:r w:rsidR="004006D7" w:rsidRPr="004006D7">
              <w:rPr>
                <w:rFonts w:ascii="Calibri" w:eastAsia="Calibri" w:hAnsi="Calibri" w:cs="Arial"/>
                <w:b/>
                <w:bCs/>
                <w:lang w:bidi="en-US"/>
              </w:rPr>
              <w:t xml:space="preserve"> </w:t>
            </w:r>
            <w:r w:rsidR="004006D7">
              <w:rPr>
                <w:rFonts w:ascii="Calibri" w:eastAsia="Calibri" w:hAnsi="Calibri" w:cs="Arial"/>
                <w:b/>
                <w:bCs/>
                <w:lang w:bidi="en-US"/>
              </w:rPr>
              <w:t>and UCAS code</w:t>
            </w:r>
            <w:r w:rsidR="003C5E4A">
              <w:rPr>
                <w:rFonts w:ascii="Calibri" w:eastAsia="Calibri" w:hAnsi="Calibri" w:cs="Arial"/>
                <w:b/>
                <w:bCs/>
                <w:lang w:bidi="en-US"/>
              </w:rPr>
              <w:t>(s)</w:t>
            </w:r>
            <w:r w:rsidR="0044770F">
              <w:rPr>
                <w:rFonts w:ascii="Calibri" w:eastAsia="Calibri" w:hAnsi="Calibri" w:cs="Arial"/>
                <w:b/>
                <w:bCs/>
                <w:lang w:bidi="en-US"/>
              </w:rPr>
              <w:t>:</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E40885F" w14:textId="77777777" w:rsidTr="002B3488">
        <w:trPr>
          <w:trHeight w:val="454"/>
        </w:trPr>
        <w:tc>
          <w:tcPr>
            <w:tcW w:w="10201" w:type="dxa"/>
            <w:shd w:val="clear" w:color="auto" w:fill="FFFFFF" w:themeFill="background1"/>
          </w:tcPr>
          <w:p w14:paraId="6AC1F9DC" w14:textId="1215172C" w:rsidR="0005527F" w:rsidRPr="00406455" w:rsidRDefault="002E22F7" w:rsidP="0005527F">
            <w:pPr>
              <w:tabs>
                <w:tab w:val="left" w:pos="1843"/>
              </w:tabs>
              <w:spacing w:line="360" w:lineRule="auto"/>
              <w:rPr>
                <w:rFonts w:ascii="Calibri" w:eastAsia="Calibri" w:hAnsi="Calibri" w:cs="Arial"/>
                <w:bCs/>
                <w:iCs/>
              </w:rPr>
            </w:pPr>
            <w:r>
              <w:rPr>
                <w:rFonts w:ascii="Calibri" w:eastAsia="Calibri" w:hAnsi="Calibri" w:cs="Arial"/>
                <w:b/>
                <w:iCs/>
              </w:rPr>
              <w:t>New</w:t>
            </w:r>
            <w:r w:rsidR="00944B35" w:rsidRPr="004006D7">
              <w:rPr>
                <w:rFonts w:ascii="Calibri" w:eastAsia="Calibri" w:hAnsi="Calibri" w:cs="Arial"/>
                <w:b/>
                <w:iCs/>
              </w:rPr>
              <w:t xml:space="preserve"> </w:t>
            </w:r>
            <w:r w:rsidR="00944B35">
              <w:rPr>
                <w:rFonts w:ascii="Calibri" w:eastAsia="Calibri" w:hAnsi="Calibri" w:cs="Arial"/>
                <w:b/>
                <w:iCs/>
              </w:rPr>
              <w:t xml:space="preserve">student intake numbers </w:t>
            </w:r>
            <w:r w:rsidR="00944B35" w:rsidRPr="004006D7">
              <w:rPr>
                <w:rFonts w:ascii="Calibri" w:eastAsia="Calibri" w:hAnsi="Calibri" w:cs="Arial"/>
                <w:b/>
                <w:iCs/>
              </w:rPr>
              <w:t xml:space="preserve">per </w:t>
            </w:r>
            <w:r w:rsidR="00944B35">
              <w:rPr>
                <w:rFonts w:ascii="Calibri" w:eastAsia="Calibri" w:hAnsi="Calibri" w:cs="Arial"/>
                <w:b/>
                <w:iCs/>
              </w:rPr>
              <w:t>academic year, for the last three years</w:t>
            </w:r>
            <w:r w:rsidR="00944B35" w:rsidRPr="004006D7">
              <w:rPr>
                <w:rFonts w:ascii="Calibri" w:eastAsia="Calibri" w:hAnsi="Calibri" w:cs="Arial"/>
                <w:b/>
                <w:iCs/>
              </w:rPr>
              <w:t>:</w:t>
            </w:r>
            <w:r w:rsidR="00944B35">
              <w:rPr>
                <w:rFonts w:ascii="Calibri" w:eastAsia="Calibri" w:hAnsi="Calibri" w:cs="Arial"/>
                <w:b/>
                <w:iCs/>
              </w:rPr>
              <w:t xml:space="preserve"> </w:t>
            </w:r>
          </w:p>
          <w:p w14:paraId="233EC65B" w14:textId="15A33023" w:rsidR="003C5E4A" w:rsidRDefault="0005527F"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Pr>
                <w:rFonts w:ascii="Calibri" w:eastAsia="Calibri" w:hAnsi="Calibri" w:cs="Arial"/>
                <w:b/>
                <w:iCs/>
              </w:rPr>
              <w:t xml:space="preserve">student intake numbers </w:t>
            </w:r>
            <w:r w:rsidRPr="004006D7">
              <w:rPr>
                <w:rFonts w:ascii="Calibri" w:eastAsia="Calibri" w:hAnsi="Calibri" w:cs="Arial"/>
                <w:b/>
                <w:iCs/>
              </w:rPr>
              <w:t xml:space="preserve">per </w:t>
            </w:r>
            <w:r>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39DAE99A" w14:textId="10CBC84E" w:rsidR="00406455" w:rsidRPr="00406455" w:rsidRDefault="003C5E4A" w:rsidP="00ED556F">
            <w:pPr>
              <w:tabs>
                <w:tab w:val="left" w:pos="1843"/>
              </w:tabs>
              <w:spacing w:after="120"/>
              <w:rPr>
                <w:rFonts w:ascii="Calibri" w:eastAsia="Calibri" w:hAnsi="Calibri" w:cs="Arial"/>
                <w:bCs/>
                <w:iCs/>
              </w:rPr>
            </w:pPr>
            <w:r>
              <w:rPr>
                <w:rFonts w:ascii="Calibri" w:eastAsia="Calibri" w:hAnsi="Calibri" w:cs="Arial"/>
                <w:bCs/>
                <w:iCs/>
              </w:rPr>
              <w:t>(</w:t>
            </w:r>
            <w:r w:rsidR="002E4BDD">
              <w:rPr>
                <w:rFonts w:ascii="Calibri" w:eastAsia="Calibri" w:hAnsi="Calibri" w:cs="Arial"/>
                <w:bCs/>
                <w:iCs/>
              </w:rPr>
              <w:t>If applicable, p</w:t>
            </w:r>
            <w:r w:rsidRPr="00ED556F">
              <w:rPr>
                <w:rFonts w:ascii="Calibri" w:eastAsia="Calibri" w:hAnsi="Calibri" w:cs="Arial"/>
                <w:bCs/>
                <w:iCs/>
              </w:rPr>
              <w:t>leas</w:t>
            </w:r>
            <w:r w:rsidR="002E4BDD">
              <w:rPr>
                <w:rFonts w:ascii="Calibri" w:eastAsia="Calibri" w:hAnsi="Calibri" w:cs="Arial"/>
                <w:bCs/>
                <w:iCs/>
              </w:rPr>
              <w:t xml:space="preserve">e provide a breakdown of </w:t>
            </w:r>
            <w:r w:rsidRPr="00ED556F">
              <w:rPr>
                <w:rFonts w:ascii="Calibri" w:eastAsia="Calibri" w:hAnsi="Calibri" w:cs="Arial"/>
                <w:bCs/>
                <w:iCs/>
              </w:rPr>
              <w:t xml:space="preserve">information for </w:t>
            </w:r>
            <w:r w:rsidR="00E375FC">
              <w:rPr>
                <w:rFonts w:ascii="Calibri" w:eastAsia="Calibri" w:hAnsi="Calibri" w:cs="Arial"/>
                <w:bCs/>
                <w:iCs/>
              </w:rPr>
              <w:t xml:space="preserve">both </w:t>
            </w:r>
            <w:r w:rsidR="002E4BDD">
              <w:rPr>
                <w:rFonts w:ascii="Calibri" w:eastAsia="Calibri" w:hAnsi="Calibri" w:cs="Arial"/>
                <w:bCs/>
                <w:iCs/>
              </w:rPr>
              <w:t>the</w:t>
            </w:r>
            <w:r>
              <w:rPr>
                <w:rFonts w:ascii="Calibri" w:eastAsia="Calibri" w:hAnsi="Calibri" w:cs="Arial"/>
                <w:bCs/>
                <w:iCs/>
              </w:rPr>
              <w:t xml:space="preserve"> </w:t>
            </w:r>
            <w:r w:rsidRPr="00ED556F">
              <w:rPr>
                <w:rFonts w:ascii="Calibri" w:eastAsia="Calibri" w:hAnsi="Calibri" w:cs="Arial"/>
                <w:bCs/>
                <w:iCs/>
              </w:rPr>
              <w:t>MPharm degree and</w:t>
            </w:r>
            <w:r>
              <w:rPr>
                <w:rFonts w:ascii="Calibri" w:eastAsia="Calibri" w:hAnsi="Calibri" w:cs="Arial"/>
                <w:bCs/>
                <w:iCs/>
              </w:rPr>
              <w:t xml:space="preserve"> </w:t>
            </w:r>
            <w:r w:rsidRPr="00ED556F">
              <w:rPr>
                <w:rFonts w:ascii="Calibri" w:eastAsia="Calibri" w:hAnsi="Calibri" w:cs="Arial"/>
                <w:bCs/>
                <w:iCs/>
              </w:rPr>
              <w:t>MPharm degree with</w:t>
            </w:r>
            <w:r>
              <w:rPr>
                <w:rFonts w:ascii="Calibri" w:eastAsia="Calibri" w:hAnsi="Calibri" w:cs="Arial"/>
                <w:bCs/>
                <w:iCs/>
              </w:rPr>
              <w:t xml:space="preserve"> preparatory year).</w:t>
            </w:r>
          </w:p>
        </w:tc>
      </w:tr>
      <w:tr w:rsidR="004006D7" w:rsidRPr="004006D7" w14:paraId="3BF56085" w14:textId="77777777" w:rsidTr="00CA36A3">
        <w:trPr>
          <w:trHeight w:val="909"/>
        </w:trPr>
        <w:tc>
          <w:tcPr>
            <w:tcW w:w="10201" w:type="dxa"/>
            <w:shd w:val="clear" w:color="auto" w:fill="FFFFFF" w:themeFill="background1"/>
          </w:tcPr>
          <w:p w14:paraId="766E3637" w14:textId="4D12D85E"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w:t>
            </w:r>
            <w:r w:rsidR="003C5E4A">
              <w:rPr>
                <w:rFonts w:ascii="Calibri" w:eastAsia="Calibri" w:hAnsi="Calibri" w:cs="Arial"/>
                <w:b/>
                <w:iCs/>
              </w:rPr>
              <w:t>t</w:t>
            </w:r>
            <w:r w:rsidRPr="004006D7">
              <w:rPr>
                <w:rFonts w:ascii="Calibri" w:eastAsia="Calibri" w:hAnsi="Calibri" w:cs="Arial"/>
                <w:b/>
                <w:iCs/>
              </w:rPr>
              <w:t>ion/campus from which the programme</w:t>
            </w:r>
            <w:r w:rsidR="003C5E4A">
              <w:rPr>
                <w:rFonts w:ascii="Calibri" w:eastAsia="Calibri" w:hAnsi="Calibri" w:cs="Arial"/>
                <w:b/>
                <w:iCs/>
              </w:rPr>
              <w:t>(s)</w:t>
            </w:r>
            <w:r w:rsidRPr="004006D7">
              <w:rPr>
                <w:rFonts w:ascii="Calibri" w:eastAsia="Calibri" w:hAnsi="Calibri" w:cs="Arial"/>
                <w:b/>
                <w:iCs/>
              </w:rPr>
              <w:t xml:space="preserve"> will be taught: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6"/>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7" w:name="_Toc92960540"/>
            <w:bookmarkStart w:id="8" w:name="_Hlk43814025"/>
            <w:bookmarkStart w:id="9" w:name="_Hlk43813715"/>
            <w:r w:rsidRPr="004A30F8">
              <w:rPr>
                <w:color w:val="FFFFFF" w:themeColor="background1"/>
              </w:rPr>
              <w:lastRenderedPageBreak/>
              <w:t xml:space="preserve">Introduction to the </w:t>
            </w:r>
            <w:r>
              <w:rPr>
                <w:color w:val="FFFFFF" w:themeColor="background1"/>
              </w:rPr>
              <w:t>programme</w:t>
            </w:r>
            <w:bookmarkEnd w:id="7"/>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3FE4DD3E"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w:t>
            </w:r>
            <w:r w:rsidR="00D17F26">
              <w:rPr>
                <w:rFonts w:ascii="Calibri" w:eastAsia="Calibri" w:hAnsi="Calibri" w:cs="Calibri"/>
                <w:b/>
                <w:bCs/>
                <w:color w:val="00759B"/>
              </w:rPr>
              <w:t xml:space="preserve"> should</w:t>
            </w:r>
            <w:r w:rsidRPr="00A05D65">
              <w:rPr>
                <w:rFonts w:ascii="Calibri" w:eastAsia="Calibri" w:hAnsi="Calibri" w:cs="Calibri"/>
                <w:b/>
                <w:bCs/>
                <w:color w:val="00759B"/>
              </w:rPr>
              <w:t xml:space="preserve"> include:</w:t>
            </w:r>
          </w:p>
          <w:p w14:paraId="296B606E" w14:textId="1EE30B52" w:rsidR="00A05D65" w:rsidRPr="00A05D65" w:rsidRDefault="00A05D65" w:rsidP="001B7D28">
            <w:pPr>
              <w:numPr>
                <w:ilvl w:val="0"/>
                <w:numId w:val="27"/>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02F606AF" w14:textId="75DA67F9" w:rsidR="00306FFF" w:rsidRPr="00ED556F" w:rsidRDefault="00A05D65" w:rsidP="001B7D28">
            <w:pPr>
              <w:numPr>
                <w:ilvl w:val="0"/>
                <w:numId w:val="27"/>
              </w:numPr>
              <w:spacing w:after="0"/>
              <w:contextualSpacing/>
              <w:rPr>
                <w:rFonts w:ascii="Calibri" w:eastAsia="Calibri" w:hAnsi="Calibri" w:cs="Arial"/>
                <w:bCs/>
                <w:i/>
                <w:color w:val="00759B"/>
                <w:lang w:bidi="en-US"/>
              </w:rPr>
            </w:pPr>
            <w:r w:rsidRPr="00A05D65">
              <w:rPr>
                <w:rFonts w:ascii="Calibri" w:eastAsia="Calibri" w:hAnsi="Calibri" w:cs="Arial"/>
                <w:bCs/>
                <w:color w:val="00759B"/>
                <w:lang w:bidi="en-US"/>
              </w:rPr>
              <w:t xml:space="preserve">A </w:t>
            </w:r>
            <w:r w:rsidR="00BA0FE9">
              <w:rPr>
                <w:rFonts w:ascii="Calibri" w:eastAsia="Calibri" w:hAnsi="Calibri" w:cs="Arial"/>
                <w:bCs/>
                <w:color w:val="00759B"/>
                <w:lang w:bidi="en-US"/>
              </w:rPr>
              <w:t>summary of programme changes to meet the 2021 standards</w:t>
            </w:r>
            <w:r w:rsidR="00D17F26">
              <w:rPr>
                <w:rFonts w:ascii="Calibri" w:eastAsia="Calibri" w:hAnsi="Calibri" w:cs="Arial"/>
                <w:bCs/>
                <w:color w:val="00759B"/>
                <w:lang w:bidi="en-US"/>
              </w:rPr>
              <w:t xml:space="preserve"> (</w:t>
            </w:r>
            <w:r w:rsidR="00D17F26" w:rsidRPr="00A05D65">
              <w:rPr>
                <w:rFonts w:ascii="Calibri" w:eastAsia="Calibri" w:hAnsi="Calibri" w:cs="Arial"/>
                <w:bCs/>
                <w:color w:val="00759B"/>
                <w:lang w:bidi="en-US"/>
              </w:rPr>
              <w:t>Please elaborate further under the relevant standar</w:t>
            </w:r>
            <w:r w:rsidR="00D17F26">
              <w:rPr>
                <w:rFonts w:ascii="Calibri" w:eastAsia="Calibri" w:hAnsi="Calibri" w:cs="Arial"/>
                <w:bCs/>
                <w:color w:val="00759B"/>
                <w:lang w:bidi="en-US"/>
              </w:rPr>
              <w:t>d</w:t>
            </w:r>
            <w:r w:rsidR="002E4BDD">
              <w:rPr>
                <w:rFonts w:ascii="Calibri" w:eastAsia="Calibri" w:hAnsi="Calibri" w:cs="Arial"/>
                <w:bCs/>
                <w:color w:val="00759B"/>
                <w:lang w:bidi="en-US"/>
              </w:rPr>
              <w:t>/criterion</w:t>
            </w:r>
            <w:r w:rsidR="00D17F26">
              <w:rPr>
                <w:rFonts w:ascii="Calibri" w:eastAsia="Calibri" w:hAnsi="Calibri" w:cs="Arial"/>
                <w:bCs/>
                <w:color w:val="00759B"/>
                <w:lang w:bidi="en-US"/>
              </w:rPr>
              <w:t>)</w:t>
            </w:r>
            <w:r w:rsidR="00D17F26" w:rsidRPr="00A05D65">
              <w:rPr>
                <w:rFonts w:ascii="Calibri" w:eastAsia="Calibri" w:hAnsi="Calibri" w:cs="Arial"/>
                <w:bCs/>
                <w:color w:val="00759B"/>
                <w:lang w:bidi="en-US"/>
              </w:rPr>
              <w:t>.</w:t>
            </w:r>
          </w:p>
          <w:p w14:paraId="175F198E" w14:textId="10BC97A2" w:rsidR="00A05D65" w:rsidRPr="00A05D65" w:rsidRDefault="00306FFF" w:rsidP="001B7D28">
            <w:pPr>
              <w:numPr>
                <w:ilvl w:val="0"/>
                <w:numId w:val="27"/>
              </w:numPr>
              <w:spacing w:after="0"/>
              <w:contextualSpacing/>
              <w:rPr>
                <w:rFonts w:ascii="Calibri" w:eastAsia="Calibri" w:hAnsi="Calibri" w:cs="Arial"/>
                <w:bCs/>
                <w:i/>
                <w:color w:val="00759B"/>
                <w:lang w:bidi="en-US"/>
              </w:rPr>
            </w:pPr>
            <w:r>
              <w:rPr>
                <w:rFonts w:ascii="Calibri" w:eastAsia="Calibri" w:hAnsi="Calibri" w:cs="Arial"/>
                <w:bCs/>
                <w:color w:val="00759B"/>
                <w:lang w:bidi="en-US"/>
              </w:rPr>
              <w:t xml:space="preserve">A </w:t>
            </w:r>
            <w:r w:rsidR="00A05D65" w:rsidRPr="00A05D65">
              <w:rPr>
                <w:rFonts w:ascii="Calibri" w:eastAsia="Calibri" w:hAnsi="Calibri" w:cs="Arial"/>
                <w:bCs/>
                <w:color w:val="00759B"/>
                <w:lang w:bidi="en-US"/>
              </w:rPr>
              <w:t xml:space="preserve">summary of any </w:t>
            </w:r>
            <w:r w:rsidR="00BA0FE9">
              <w:rPr>
                <w:rFonts w:ascii="Calibri" w:eastAsia="Calibri" w:hAnsi="Calibri" w:cs="Arial"/>
                <w:bCs/>
                <w:color w:val="00759B"/>
                <w:lang w:bidi="en-US"/>
              </w:rPr>
              <w:t xml:space="preserve">other </w:t>
            </w:r>
            <w:r w:rsidR="00A05D65" w:rsidRPr="00A05D65">
              <w:rPr>
                <w:rFonts w:ascii="Calibri" w:eastAsia="Calibri" w:hAnsi="Calibri" w:cs="Arial"/>
                <w:bCs/>
                <w:color w:val="00759B"/>
                <w:lang w:bidi="en-US"/>
              </w:rPr>
              <w:t xml:space="preserve">major changes </w:t>
            </w:r>
            <w:r w:rsidR="00BA0FE9">
              <w:rPr>
                <w:rFonts w:ascii="Calibri" w:eastAsia="Calibri" w:hAnsi="Calibri" w:cs="Arial"/>
                <w:bCs/>
                <w:color w:val="00759B"/>
                <w:lang w:bidi="en-US"/>
              </w:rPr>
              <w:t>since the last event</w:t>
            </w:r>
          </w:p>
          <w:p w14:paraId="6BC0C80F" w14:textId="70BD902C" w:rsidR="00A05D65" w:rsidRPr="00D17F26" w:rsidRDefault="00A05D65" w:rsidP="001B7D28">
            <w:pPr>
              <w:numPr>
                <w:ilvl w:val="0"/>
                <w:numId w:val="27"/>
              </w:numPr>
              <w:ind w:left="714" w:hanging="357"/>
              <w:rPr>
                <w:rFonts w:ascii="Calibri" w:eastAsia="Calibri" w:hAnsi="Calibri" w:cs="Arial"/>
                <w:bCs/>
                <w:color w:val="00759B"/>
                <w:lang w:bidi="en-US"/>
              </w:rPr>
            </w:pPr>
            <w:r w:rsidRPr="00A05D65">
              <w:rPr>
                <w:rFonts w:ascii="Calibri" w:eastAsia="Calibri" w:hAnsi="Calibri" w:cs="Arial"/>
                <w:bCs/>
                <w:color w:val="00759B"/>
                <w:lang w:bidi="en-US"/>
              </w:rPr>
              <w:t xml:space="preserve">An explanation of how any conditions </w:t>
            </w:r>
            <w:r w:rsidR="00D17F26">
              <w:rPr>
                <w:rFonts w:ascii="Calibri" w:eastAsia="Calibri" w:hAnsi="Calibri" w:cs="Arial"/>
                <w:bCs/>
                <w:color w:val="00759B"/>
                <w:lang w:bidi="en-US"/>
              </w:rPr>
              <w:t>and</w:t>
            </w:r>
            <w:r w:rsidRPr="00A05D65">
              <w:rPr>
                <w:rFonts w:ascii="Calibri" w:eastAsia="Calibri" w:hAnsi="Calibri" w:cs="Arial"/>
                <w:bCs/>
                <w:color w:val="00759B"/>
                <w:lang w:bidi="en-US"/>
              </w:rPr>
              <w:t xml:space="preserve"> recommendations from the previous event have been addressed </w:t>
            </w:r>
            <w:r w:rsidRPr="00D17F26">
              <w:rPr>
                <w:rFonts w:ascii="Calibri" w:eastAsia="Calibri" w:hAnsi="Calibri" w:cs="Arial"/>
                <w:bCs/>
                <w:color w:val="00759B"/>
                <w:lang w:bidi="en-US"/>
              </w:rPr>
              <w:t xml:space="preserve"> </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599EAD3C" w14:textId="01C485CF" w:rsidR="00D17F26" w:rsidRDefault="00D17F26" w:rsidP="00A05D65">
            <w:pPr>
              <w:autoSpaceDE w:val="0"/>
              <w:autoSpaceDN w:val="0"/>
              <w:textAlignment w:val="center"/>
              <w:rPr>
                <w:rFonts w:ascii="Calibri" w:eastAsia="Calibri" w:hAnsi="Calibri" w:cs="Calibri"/>
              </w:rPr>
            </w:pPr>
            <w:r w:rsidRPr="00A05D65">
              <w:rPr>
                <w:rFonts w:ascii="Calibri" w:eastAsia="Calibri" w:hAnsi="Calibri" w:cs="Calibri"/>
                <w:b/>
                <w:bCs/>
              </w:rPr>
              <w:t>Provider’s commentary</w:t>
            </w:r>
          </w:p>
          <w:p w14:paraId="1F6C328C" w14:textId="7287AA56"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8"/>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ED556F">
        <w:trPr>
          <w:gridAfter w:val="1"/>
          <w:wAfter w:w="3969" w:type="dxa"/>
          <w:trHeight w:val="227"/>
        </w:trPr>
        <w:tc>
          <w:tcPr>
            <w:tcW w:w="6237" w:type="dxa"/>
            <w:shd w:val="clear" w:color="auto" w:fill="00759B" w:themeFill="accent1"/>
            <w:tcMar>
              <w:top w:w="0" w:type="dxa"/>
              <w:left w:w="56" w:type="dxa"/>
              <w:bottom w:w="0" w:type="dxa"/>
              <w:right w:w="56" w:type="dxa"/>
            </w:tcMar>
            <w:hideMark/>
          </w:tcPr>
          <w:p w14:paraId="6EF5BE8B" w14:textId="64970ABE" w:rsidR="00AB087C" w:rsidRPr="00A05D65" w:rsidRDefault="00AB087C" w:rsidP="004A30F8">
            <w:pPr>
              <w:pStyle w:val="Heading2"/>
              <w:rPr>
                <w:rFonts w:eastAsia="Calibri"/>
              </w:rPr>
            </w:pPr>
            <w:bookmarkStart w:id="10" w:name="_Toc92960541"/>
            <w:bookmarkEnd w:id="9"/>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w:t>
            </w:r>
            <w:r w:rsidR="00DA0131">
              <w:rPr>
                <w:rFonts w:eastAsia="Calibri"/>
                <w:color w:val="FFFFFF" w:themeColor="background1"/>
              </w:rPr>
              <w:t>OVID</w:t>
            </w:r>
            <w:r w:rsidRPr="004A30F8">
              <w:rPr>
                <w:rFonts w:eastAsia="Calibri"/>
                <w:color w:val="FFFFFF" w:themeColor="background1"/>
              </w:rPr>
              <w:t>-19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0EF68CB8"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w:t>
            </w:r>
            <w:r w:rsidR="00306FFF">
              <w:rPr>
                <w:rFonts w:ascii="Calibri" w:eastAsia="Calibri" w:hAnsi="Calibri" w:cs="Arial"/>
                <w:bCs/>
                <w:color w:val="00759B"/>
                <w:lang w:bidi="en-US"/>
              </w:rPr>
              <w:t xml:space="preserve">continue to be made </w:t>
            </w:r>
            <w:r w:rsidRPr="00A05D65">
              <w:rPr>
                <w:rFonts w:ascii="Calibri" w:eastAsia="Calibri" w:hAnsi="Calibri" w:cs="Arial"/>
                <w:bCs/>
                <w:color w:val="00759B"/>
                <w:lang w:bidi="en-US"/>
              </w:rPr>
              <w:t xml:space="preserve">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du</w:t>
            </w:r>
            <w:r w:rsidR="00306FFF">
              <w:rPr>
                <w:rFonts w:ascii="Calibri" w:eastAsia="Calibri" w:hAnsi="Calibri" w:cs="Arial"/>
                <w:bCs/>
                <w:color w:val="00759B"/>
                <w:lang w:bidi="en-US"/>
              </w:rPr>
              <w:t>e to</w:t>
            </w:r>
            <w:r w:rsidRPr="00A05D65">
              <w:rPr>
                <w:rFonts w:ascii="Calibri" w:eastAsia="Calibri" w:hAnsi="Calibri" w:cs="Arial"/>
                <w:bCs/>
                <w:color w:val="00759B"/>
                <w:lang w:bidi="en-US"/>
              </w:rPr>
              <w:t xml:space="preserve"> the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3C440D23" w14:textId="77777777" w:rsidR="000832F7" w:rsidRDefault="000832F7"/>
    <w:p w14:paraId="446FE9DF" w14:textId="6BB282B3" w:rsidR="00A8171F" w:rsidRDefault="00A8171F">
      <w:r>
        <w:br w:type="page"/>
      </w:r>
    </w:p>
    <w:tbl>
      <w:tblPr>
        <w:tblW w:w="10620"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4A0" w:firstRow="1" w:lastRow="0" w:firstColumn="1" w:lastColumn="0" w:noHBand="0" w:noVBand="1"/>
      </w:tblPr>
      <w:tblGrid>
        <w:gridCol w:w="4668"/>
        <w:gridCol w:w="1275"/>
        <w:gridCol w:w="1416"/>
        <w:gridCol w:w="1417"/>
        <w:gridCol w:w="1844"/>
      </w:tblGrid>
      <w:tr w:rsidR="001B7D28" w14:paraId="2367AF22" w14:textId="77777777" w:rsidTr="001B7D28">
        <w:trPr>
          <w:gridAfter w:val="4"/>
          <w:wAfter w:w="5956" w:type="dxa"/>
          <w:trHeight w:val="227"/>
        </w:trPr>
        <w:tc>
          <w:tcPr>
            <w:tcW w:w="4671" w:type="dxa"/>
            <w:tcBorders>
              <w:top w:val="single" w:sz="12" w:space="0" w:color="00759B" w:themeColor="accent1"/>
              <w:left w:val="single" w:sz="12" w:space="0" w:color="00759B" w:themeColor="accent1"/>
              <w:bottom w:val="single" w:sz="12" w:space="0" w:color="00759B" w:themeColor="accent1"/>
              <w:right w:val="single" w:sz="12" w:space="0" w:color="00759B" w:themeColor="accent1"/>
            </w:tcBorders>
            <w:shd w:val="clear" w:color="auto" w:fill="00759B"/>
            <w:hideMark/>
          </w:tcPr>
          <w:p w14:paraId="1FABF877" w14:textId="77777777" w:rsidR="001B7D28" w:rsidRDefault="001B7D28" w:rsidP="001B7D28">
            <w:pPr>
              <w:pStyle w:val="Heading1"/>
              <w:rPr>
                <w:rFonts w:eastAsia="Times New Roman"/>
                <w:color w:val="FFFFFF" w:themeColor="background1"/>
                <w:sz w:val="40"/>
                <w:szCs w:val="22"/>
                <w:lang w:bidi="en-US"/>
              </w:rPr>
            </w:pPr>
            <w:bookmarkStart w:id="11" w:name="_Toc92277459"/>
            <w:bookmarkStart w:id="12" w:name="_Toc92960542"/>
            <w:r>
              <w:rPr>
                <w:rFonts w:eastAsia="Times New Roman"/>
                <w:color w:val="FFFFFF" w:themeColor="background1"/>
                <w:sz w:val="40"/>
                <w:szCs w:val="22"/>
                <w:lang w:bidi="en-US"/>
              </w:rPr>
              <w:lastRenderedPageBreak/>
              <w:t>Part 1: Learning outcomes</w:t>
            </w:r>
            <w:bookmarkEnd w:id="11"/>
            <w:bookmarkEnd w:id="12"/>
            <w:r>
              <w:rPr>
                <w:rFonts w:eastAsia="Times New Roman"/>
                <w:color w:val="FFFFFF" w:themeColor="background1"/>
                <w:sz w:val="40"/>
                <w:szCs w:val="22"/>
                <w:lang w:bidi="en-US"/>
              </w:rPr>
              <w:t xml:space="preserve"> </w:t>
            </w:r>
          </w:p>
        </w:tc>
      </w:tr>
      <w:tr w:rsidR="001B7D28" w14:paraId="281E82DC" w14:textId="77777777" w:rsidTr="001B7D28">
        <w:trPr>
          <w:trHeight w:val="624"/>
        </w:trPr>
        <w:tc>
          <w:tcPr>
            <w:tcW w:w="5947" w:type="dxa"/>
            <w:gridSpan w:val="2"/>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5BB66887" w14:textId="77777777" w:rsidR="001B7D28" w:rsidRDefault="001B7D28" w:rsidP="001B7D28">
            <w:pPr>
              <w:pStyle w:val="Heading2"/>
              <w:rPr>
                <w:color w:val="FFFFFF" w:themeColor="background1"/>
              </w:rPr>
            </w:pPr>
            <w:bookmarkStart w:id="13" w:name="_Toc92277460"/>
            <w:bookmarkStart w:id="14" w:name="_Toc92960543"/>
            <w:r>
              <w:rPr>
                <w:bCs/>
                <w:color w:val="FFFFFF" w:themeColor="background1"/>
              </w:rPr>
              <w:t>Domain:</w:t>
            </w:r>
            <w:r>
              <w:rPr>
                <w:color w:val="FFFFFF" w:themeColor="background1"/>
              </w:rPr>
              <w:t xml:space="preserve"> Person-centred care and collaboration </w:t>
            </w:r>
            <w:r>
              <w:rPr>
                <w:bCs/>
                <w:color w:val="FFFFFF" w:themeColor="background1"/>
              </w:rPr>
              <w:t>(Learning outcomes 1-14)</w:t>
            </w:r>
            <w:bookmarkEnd w:id="13"/>
            <w:bookmarkEnd w:id="14"/>
          </w:p>
        </w:tc>
        <w:tc>
          <w:tcPr>
            <w:tcW w:w="1417"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7FD4FBF0" w14:textId="77777777" w:rsidR="001B7D28" w:rsidRDefault="001B7D28">
            <w:pPr>
              <w:rPr>
                <w:b/>
                <w:bCs/>
                <w:noProof/>
                <w:color w:val="FFFFFF" w:themeColor="background1"/>
              </w:rPr>
            </w:pPr>
            <w:r>
              <w:rPr>
                <w:b/>
                <w:bCs/>
                <w:noProof/>
                <w:color w:val="FFFFFF" w:themeColor="background1"/>
              </w:rPr>
              <w:t>Expectation MPharm degree</w:t>
            </w:r>
          </w:p>
        </w:tc>
        <w:tc>
          <w:tcPr>
            <w:tcW w:w="141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28D21622" w14:textId="77777777" w:rsidR="001B7D28" w:rsidRDefault="001B7D28">
            <w:pPr>
              <w:rPr>
                <w:b/>
                <w:bCs/>
                <w:noProof/>
                <w:color w:val="FFFFFF" w:themeColor="background1"/>
              </w:rPr>
            </w:pPr>
            <w:r>
              <w:rPr>
                <w:b/>
                <w:bCs/>
                <w:noProof/>
                <w:color w:val="FFFFFF" w:themeColor="background1"/>
              </w:rPr>
              <w:t>Expectation foundation training year</w:t>
            </w:r>
          </w:p>
        </w:tc>
        <w:tc>
          <w:tcPr>
            <w:tcW w:w="1845" w:type="dxa"/>
            <w:tcBorders>
              <w:top w:val="nil"/>
              <w:left w:val="single" w:sz="12" w:space="0" w:color="563C75" w:themeColor="text2"/>
              <w:bottom w:val="single" w:sz="12" w:space="0" w:color="00759B" w:themeColor="accent1"/>
              <w:right w:val="nil"/>
            </w:tcBorders>
            <w:shd w:val="clear" w:color="auto" w:fill="FFFFFF" w:themeFill="background1"/>
            <w:tcMar>
              <w:top w:w="0" w:type="dxa"/>
              <w:left w:w="108" w:type="dxa"/>
              <w:bottom w:w="0" w:type="dxa"/>
              <w:right w:w="108" w:type="dxa"/>
            </w:tcMar>
          </w:tcPr>
          <w:p w14:paraId="1EA7D837" w14:textId="77777777" w:rsidR="001B7D28" w:rsidRDefault="001B7D28">
            <w:pPr>
              <w:rPr>
                <w:b/>
                <w:bCs/>
                <w:noProof/>
                <w:color w:val="FFFFFF" w:themeColor="background1"/>
              </w:rPr>
            </w:pPr>
          </w:p>
        </w:tc>
      </w:tr>
      <w:tr w:rsidR="001B7D28" w14:paraId="18E61B9B" w14:textId="77777777" w:rsidTr="001B7D28">
        <w:trPr>
          <w:trHeight w:val="265"/>
        </w:trPr>
        <w:tc>
          <w:tcPr>
            <w:tcW w:w="16582" w:type="dxa"/>
            <w:gridSpan w:val="2"/>
            <w:vMerge/>
            <w:tcBorders>
              <w:top w:val="single" w:sz="12" w:space="0" w:color="563C75" w:themeColor="text2"/>
              <w:left w:val="single" w:sz="12" w:space="0" w:color="563C75" w:themeColor="text2"/>
              <w:bottom w:val="single" w:sz="12" w:space="0" w:color="563C75" w:themeColor="text2"/>
              <w:right w:val="single" w:sz="12" w:space="0" w:color="563C75" w:themeColor="text2"/>
            </w:tcBorders>
            <w:vAlign w:val="center"/>
            <w:hideMark/>
          </w:tcPr>
          <w:p w14:paraId="358EF356" w14:textId="77777777" w:rsidR="001B7D28" w:rsidRDefault="001B7D28">
            <w:pPr>
              <w:spacing w:after="0"/>
              <w:rPr>
                <w:rFonts w:asciiTheme="majorHAnsi" w:eastAsiaTheme="majorEastAsia" w:hAnsiTheme="majorHAnsi" w:cstheme="majorBidi"/>
                <w:color w:val="FFFFFF" w:themeColor="background1"/>
                <w:sz w:val="26"/>
                <w:szCs w:val="26"/>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vAlign w:val="center"/>
            <w:hideMark/>
          </w:tcPr>
          <w:p w14:paraId="4819F3AC" w14:textId="77777777" w:rsidR="001B7D28" w:rsidRDefault="001B7D28">
            <w:pPr>
              <w:spacing w:after="0"/>
              <w:rPr>
                <w:b/>
                <w:bCs/>
                <w:noProof/>
                <w:color w:val="FFFFFF" w:themeColor="background1"/>
              </w:rPr>
            </w:pPr>
          </w:p>
        </w:tc>
        <w:tc>
          <w:tcPr>
            <w:tcW w:w="1418"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vAlign w:val="center"/>
            <w:hideMark/>
          </w:tcPr>
          <w:p w14:paraId="26A5E7A0" w14:textId="77777777" w:rsidR="001B7D28" w:rsidRDefault="001B7D28">
            <w:pPr>
              <w:spacing w:after="0"/>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5B3AC4F" w14:textId="77777777" w:rsidR="001B7D28" w:rsidRDefault="001B7D28">
            <w:pPr>
              <w:rPr>
                <w:noProof/>
                <w:color w:val="FFFFFF" w:themeColor="background1"/>
                <w:sz w:val="20"/>
                <w:szCs w:val="20"/>
              </w:rPr>
            </w:pPr>
            <w:r>
              <w:rPr>
                <w:noProof/>
                <w:color w:val="FFFFFF" w:themeColor="background1"/>
                <w:sz w:val="20"/>
                <w:szCs w:val="20"/>
              </w:rPr>
              <w:t>Accrediation team use only:</w:t>
            </w:r>
          </w:p>
        </w:tc>
      </w:tr>
      <w:tr w:rsidR="001B7D28" w14:paraId="07B9C21C"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EBDD908" w14:textId="77777777" w:rsidR="001B7D28" w:rsidRDefault="001B7D28" w:rsidP="001B7D28">
            <w:pPr>
              <w:pStyle w:val="ListParagraph"/>
              <w:numPr>
                <w:ilvl w:val="0"/>
                <w:numId w:val="32"/>
              </w:numPr>
              <w:ind w:left="416" w:hanging="426"/>
              <w:rPr>
                <w:noProof/>
              </w:rPr>
            </w:pPr>
            <w:r>
              <w:rPr>
                <w:noProof/>
              </w:rPr>
              <w:t>Demonstrate empathy and keep the person at the centre of their approach to care at all times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43BEBEF"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9D71C78" w14:textId="77777777" w:rsidR="001B7D28" w:rsidRDefault="001B7D28">
            <w:pPr>
              <w:rPr>
                <w:b/>
                <w:bCs/>
                <w:noProof/>
              </w:rPr>
            </w:pPr>
            <w:r>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C6C0FF7"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165448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8AD77E8"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920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1DDDED1" w14:textId="77777777" w:rsidR="001B7D28" w:rsidRDefault="001B7D28">
            <w:pPr>
              <w:spacing w:after="0"/>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584531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21DB18E"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C5858E7" w14:textId="77777777" w:rsidR="001B7D28" w:rsidRDefault="001B7D28" w:rsidP="001B7D28">
            <w:pPr>
              <w:pStyle w:val="ListParagraph"/>
              <w:numPr>
                <w:ilvl w:val="0"/>
                <w:numId w:val="32"/>
              </w:numPr>
              <w:ind w:left="416" w:hanging="426"/>
              <w:rPr>
                <w:noProof/>
              </w:rPr>
            </w:pPr>
            <w:r>
              <w:rPr>
                <w:noProof/>
              </w:rPr>
              <w:t>Work in partnership with people to support and empower them in shared decision-making about their health and wellbeing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457809D"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0BEDFA0E"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39E9798"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36831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62A7803"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71990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64AE41C" w14:textId="77777777" w:rsidR="001B7D28" w:rsidRDefault="001B7D28">
            <w:pPr>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588129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01136E13"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83174F1" w14:textId="77777777" w:rsidR="001B7D28" w:rsidRDefault="001B7D28" w:rsidP="001B7D28">
            <w:pPr>
              <w:pStyle w:val="ListParagraph"/>
              <w:numPr>
                <w:ilvl w:val="0"/>
                <w:numId w:val="32"/>
              </w:numPr>
              <w:ind w:left="416" w:hanging="426"/>
              <w:rPr>
                <w:noProof/>
              </w:rPr>
            </w:pPr>
            <w:r>
              <w:rPr>
                <w:noProof/>
              </w:rPr>
              <w:t xml:space="preserve">Demonstrate effective communication at all times and adapt their approach and communication style to meet the needs of the person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C603204"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16BB5F2"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C2FCD5E"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33314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00E681CB"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186665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60DF8ED" w14:textId="77777777" w:rsidR="001B7D28" w:rsidRDefault="001B7D28">
            <w:pPr>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02492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3EF7A14A"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17282F0" w14:textId="77777777" w:rsidR="001B7D28" w:rsidRDefault="001B7D28" w:rsidP="001B7D28">
            <w:pPr>
              <w:pStyle w:val="ListParagraph"/>
              <w:numPr>
                <w:ilvl w:val="0"/>
                <w:numId w:val="32"/>
              </w:numPr>
              <w:ind w:left="416" w:hanging="426"/>
              <w:rPr>
                <w:noProof/>
              </w:rPr>
            </w:pPr>
            <w:r>
              <w:rPr>
                <w:noProof/>
              </w:rPr>
              <w:t>Understand the variety of settings and adapt their communication accordingly</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11623F2"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96DADB7"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FAE252B"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378951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6D49FD7"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148039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604BDF1" w14:textId="77777777" w:rsidR="001B7D28" w:rsidRDefault="001B7D28">
            <w:pPr>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452195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297B4CB0"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3CF36C73" w14:textId="77777777" w:rsidR="001B7D28" w:rsidRDefault="001B7D28" w:rsidP="001B7D28">
            <w:pPr>
              <w:pStyle w:val="ListParagraph"/>
              <w:numPr>
                <w:ilvl w:val="0"/>
                <w:numId w:val="32"/>
              </w:numPr>
              <w:ind w:left="416" w:hanging="426"/>
              <w:rPr>
                <w:noProof/>
              </w:rPr>
            </w:pPr>
            <w:r>
              <w:rPr>
                <w:noProof/>
              </w:rPr>
              <w:t>Proactively support people to make safe and effective use of their medicines and devices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1944613"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0513FFD"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81094C5"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871597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4F280476"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07328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D3FF3DD"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7043647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18DE2CDA"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A39C8E3" w14:textId="77777777" w:rsidR="001B7D28" w:rsidRDefault="001B7D28" w:rsidP="001B7D28">
            <w:pPr>
              <w:pStyle w:val="ListParagraph"/>
              <w:numPr>
                <w:ilvl w:val="0"/>
                <w:numId w:val="32"/>
              </w:numPr>
              <w:ind w:left="416" w:hanging="426"/>
              <w:rPr>
                <w:noProof/>
              </w:rPr>
            </w:pPr>
            <w:r>
              <w:rPr>
                <w:noProof/>
              </w:rPr>
              <w:t>Treat people as equals, with dignity and respect, and meet their own legal responsibilities under equality and human rights legislation, while respecting diversity and cultural differences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5DC9B36"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B3B2C13"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3816BD5A"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579422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B6B077A"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98991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40AAEB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440812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54C1DCB4"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E6B76C6" w14:textId="77777777" w:rsidR="001B7D28" w:rsidRDefault="001B7D28" w:rsidP="001B7D28">
            <w:pPr>
              <w:pStyle w:val="ListParagraph"/>
              <w:numPr>
                <w:ilvl w:val="0"/>
                <w:numId w:val="32"/>
              </w:numPr>
              <w:ind w:left="416" w:hanging="426"/>
              <w:rPr>
                <w:noProof/>
              </w:rPr>
            </w:pPr>
            <w:r>
              <w:rPr>
                <w:noProof/>
              </w:rPr>
              <w:t>Obtain informed consent before providing care and pharmacy services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BB839A9"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0588D6EC"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DA9DCFF"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1628405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890047F"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4849975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809384E"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8470720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06AB4EB7"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C3CD376" w14:textId="77777777" w:rsidR="001B7D28" w:rsidRDefault="001B7D28" w:rsidP="001B7D28">
            <w:pPr>
              <w:pStyle w:val="ListParagraph"/>
              <w:numPr>
                <w:ilvl w:val="0"/>
                <w:numId w:val="32"/>
              </w:numPr>
              <w:ind w:left="416" w:hanging="426"/>
              <w:rPr>
                <w:noProof/>
              </w:rPr>
            </w:pPr>
            <w:r>
              <w:rPr>
                <w:noProof/>
              </w:rPr>
              <w:t xml:space="preserve">Assess and respond to the person’s particular health risks, taking account of individuals’ protected characteristics and background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4892930"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0CFDEFAE"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4E0A681"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547339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960507F"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5621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EFCE35D"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38176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5511AF98"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4F7737B" w14:textId="77777777" w:rsidR="001B7D28" w:rsidRDefault="001B7D28" w:rsidP="001B7D28">
            <w:pPr>
              <w:pStyle w:val="ListParagraph"/>
              <w:numPr>
                <w:ilvl w:val="0"/>
                <w:numId w:val="32"/>
              </w:numPr>
              <w:ind w:left="416" w:hanging="426"/>
              <w:rPr>
                <w:noProof/>
              </w:rPr>
            </w:pPr>
            <w:r>
              <w:rPr>
                <w:noProof/>
              </w:rPr>
              <w:t>Take responsibility for ensuring that personal values and beliefs do not compromise person-centred care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4162DF1"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1ED64EB"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3B457A91"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223168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37BD56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84939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70B7C51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75746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729A57BC"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28A2DC4" w14:textId="77777777" w:rsidR="001B7D28" w:rsidRDefault="001B7D28" w:rsidP="001B7D28">
            <w:pPr>
              <w:pStyle w:val="ListParagraph"/>
              <w:numPr>
                <w:ilvl w:val="0"/>
                <w:numId w:val="32"/>
              </w:numPr>
              <w:ind w:left="416" w:hanging="426"/>
              <w:rPr>
                <w:noProof/>
              </w:rPr>
            </w:pPr>
            <w:r>
              <w:rPr>
                <w:noProof/>
              </w:rPr>
              <w:t>Demonstrate effective consultation skills, and in partnership with the person, decide the most appropriate course of action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2A0A7FFC" w14:textId="77777777" w:rsidR="001B7D28" w:rsidRDefault="001B7D28">
            <w:pPr>
              <w:rPr>
                <w:b/>
                <w:bCs/>
                <w:noProof/>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FDCC0D5" w14:textId="77777777" w:rsidR="001B7D28" w:rsidRDefault="001B7D28">
            <w:pPr>
              <w:rPr>
                <w:b/>
                <w:bCs/>
                <w:noProof/>
              </w:rPr>
            </w:pPr>
            <w:r>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2DEA6DD"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054114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2B42CF3"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4902465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52D36C1"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5907714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77767544"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624CE65" w14:textId="77777777" w:rsidR="001B7D28" w:rsidRDefault="001B7D28" w:rsidP="001B7D28">
            <w:pPr>
              <w:pStyle w:val="ListParagraph"/>
              <w:numPr>
                <w:ilvl w:val="0"/>
                <w:numId w:val="32"/>
              </w:numPr>
              <w:ind w:left="416" w:hanging="426"/>
              <w:rPr>
                <w:noProof/>
              </w:rPr>
            </w:pPr>
            <w:r>
              <w:rPr>
                <w:noProof/>
              </w:rPr>
              <w:t>Take into consideration factors that affect people’s behaviours in relation to health and wellbeing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D0EBF59"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9CF9E2F"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CF45DCB"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130895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5BF2417"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174131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0D85D0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6040284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066CA3AD"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67D9EBA" w14:textId="77777777" w:rsidR="001B7D28" w:rsidRDefault="001B7D28" w:rsidP="001B7D28">
            <w:pPr>
              <w:pStyle w:val="ListParagraph"/>
              <w:numPr>
                <w:ilvl w:val="0"/>
                <w:numId w:val="32"/>
              </w:numPr>
              <w:ind w:left="416" w:hanging="426"/>
              <w:rPr>
                <w:noProof/>
              </w:rPr>
            </w:pPr>
            <w:r>
              <w:rPr>
                <w:noProof/>
              </w:rPr>
              <w:lastRenderedPageBreak/>
              <w:t>Take an all-inclusive approach to ensure the most appropriate course of action based on clinical, legal and professional considerations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C3F0422"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88E7FE4" w14:textId="77777777" w:rsidR="001B7D28" w:rsidRDefault="001B7D28">
            <w:pPr>
              <w:rPr>
                <w:b/>
                <w:bCs/>
                <w:noProof/>
              </w:rPr>
            </w:pPr>
            <w:r>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DCD2B4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86776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3019695"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30638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EFACBE3"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4042442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76989144"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0CFE005" w14:textId="77777777" w:rsidR="001B7D28" w:rsidRDefault="001B7D28" w:rsidP="001B7D28">
            <w:pPr>
              <w:pStyle w:val="ListParagraph"/>
              <w:numPr>
                <w:ilvl w:val="0"/>
                <w:numId w:val="32"/>
              </w:numPr>
              <w:ind w:left="416" w:hanging="426"/>
              <w:rPr>
                <w:noProof/>
              </w:rPr>
            </w:pPr>
            <w:r>
              <w:rPr>
                <w:noProof/>
              </w:rPr>
              <w:t>Recognise the psychological, physiological and physical impact of prescribing decisions on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1D1CDD3" w14:textId="77777777" w:rsidR="001B7D28" w:rsidRDefault="001B7D28">
            <w:pPr>
              <w:rPr>
                <w:b/>
                <w:bCs/>
                <w:noProof/>
              </w:rPr>
            </w:pPr>
            <w:r>
              <w:rPr>
                <w:b/>
                <w:bCs/>
                <w:noProof/>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38D1DF5C"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6729FBD"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525537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6671543"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744355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BA791FE"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8598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7FCFD5C7" w14:textId="77777777" w:rsidTr="001B7D28">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609CF4B" w14:textId="77777777" w:rsidR="001B7D28" w:rsidRDefault="001B7D28" w:rsidP="001B7D28">
            <w:pPr>
              <w:pStyle w:val="ListParagraph"/>
              <w:numPr>
                <w:ilvl w:val="0"/>
                <w:numId w:val="32"/>
              </w:numPr>
              <w:ind w:left="416" w:hanging="426"/>
              <w:rPr>
                <w:noProof/>
              </w:rPr>
            </w:pPr>
            <w:r>
              <w:rPr>
                <w:noProof/>
              </w:rPr>
              <w:t>Work collaboratively and effectively with other members of the multi-disciplinary team to ensure high-quality, person-centred care, including continuity of care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162582C"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4DD675A" w14:textId="77777777" w:rsidR="001B7D28" w:rsidRDefault="001B7D28">
            <w:pPr>
              <w:rPr>
                <w:b/>
                <w:bCs/>
                <w:noProof/>
              </w:rPr>
            </w:pPr>
            <w:r>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CD2B997"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0581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B26C427"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650170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93FCE0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2803295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Pr>
                <w:rFonts w:ascii="Calibri" w:eastAsia="Calibri" w:hAnsi="Calibri" w:cs="Calibri"/>
                <w:b/>
                <w:bCs/>
                <w:color w:val="FFFFFF" w:themeColor="background1"/>
              </w:rPr>
              <w:t xml:space="preserve">  </w:t>
            </w:r>
          </w:p>
        </w:tc>
      </w:tr>
      <w:tr w:rsidR="001B7D28" w14:paraId="0C6008D5"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6349416E" w14:textId="77777777" w:rsidR="001B7D28" w:rsidRDefault="001B7D28">
            <w:pPr>
              <w:rPr>
                <w:b/>
                <w:bCs/>
                <w:noProof/>
              </w:rPr>
            </w:pPr>
            <w:r>
              <w:rPr>
                <w:b/>
                <w:bCs/>
                <w:noProof/>
              </w:rPr>
              <w:t>How and where does the programme support students to achieve the learning outcomes within this domain?</w:t>
            </w:r>
          </w:p>
        </w:tc>
      </w:tr>
      <w:tr w:rsidR="001B7D28" w14:paraId="30CDFBAD"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5B3F8E1F"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303C24B0"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0E583D39"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6A31598B"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02451F4A"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62346EEA"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693CF29D" w14:textId="77777777" w:rsidR="001B7D28" w:rsidRDefault="001B7D28">
            <w:pPr>
              <w:rPr>
                <w:rFonts w:ascii="Calibri" w:hAnsi="Calibri" w:cs="Calibri"/>
                <w:b/>
                <w:bCs/>
              </w:rPr>
            </w:pPr>
            <w:r>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1B7D28" w14:paraId="5667CC4E"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tcMar>
              <w:top w:w="0" w:type="dxa"/>
              <w:left w:w="108" w:type="dxa"/>
              <w:bottom w:w="0" w:type="dxa"/>
              <w:right w:w="108" w:type="dxa"/>
            </w:tcMar>
            <w:hideMark/>
          </w:tcPr>
          <w:p w14:paraId="108FE6D8"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7B97AC28"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04B46382"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175A3823"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7B285C3F"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0203ED07" w14:textId="77777777" w:rsidTr="001B7D28">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Mar>
              <w:top w:w="0" w:type="dxa"/>
              <w:left w:w="108" w:type="dxa"/>
              <w:bottom w:w="0" w:type="dxa"/>
              <w:right w:w="108" w:type="dxa"/>
            </w:tcMar>
            <w:hideMark/>
          </w:tcPr>
          <w:p w14:paraId="6715AA12"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52A574B" w14:textId="77777777" w:rsidR="001B7D28" w:rsidRDefault="001B7D28">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463C186"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Cs/>
                <w:color w:val="00759B"/>
              </w:rPr>
              <w:t>X</w:t>
            </w:r>
          </w:p>
        </w:tc>
      </w:tr>
      <w:tr w:rsidR="001B7D28" w14:paraId="5F195289" w14:textId="77777777" w:rsidTr="001B7D28">
        <w:trPr>
          <w:trHeight w:val="667"/>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6BA8D39F" w14:textId="77777777" w:rsidR="001B7D28" w:rsidRDefault="001B7D28" w:rsidP="001B7D28">
            <w:pPr>
              <w:pStyle w:val="Heading2"/>
              <w:rPr>
                <w:b w:val="0"/>
                <w:color w:val="FFFFFF" w:themeColor="background1"/>
              </w:rPr>
            </w:pPr>
            <w:bookmarkStart w:id="15" w:name="_Toc92277461"/>
            <w:bookmarkStart w:id="16" w:name="_Toc92960544"/>
            <w:r>
              <w:rPr>
                <w:bCs/>
                <w:color w:val="FFFFFF" w:themeColor="background1"/>
              </w:rPr>
              <w:t>Domain:</w:t>
            </w:r>
            <w:r>
              <w:rPr>
                <w:color w:val="FFFFFF" w:themeColor="background1"/>
              </w:rPr>
              <w:t xml:space="preserve"> Professional practice </w:t>
            </w:r>
            <w:r>
              <w:rPr>
                <w:bCs/>
                <w:color w:val="FFFFFF" w:themeColor="background1"/>
              </w:rPr>
              <w:t>(Learning outcomes 15 - 44)</w:t>
            </w:r>
            <w:bookmarkEnd w:id="15"/>
            <w:bookmarkEnd w:id="16"/>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46CB6FCD" w14:textId="77777777" w:rsidR="001B7D28" w:rsidRDefault="001B7D28">
            <w:pPr>
              <w:rPr>
                <w:b/>
                <w:bCs/>
                <w:noProof/>
                <w:color w:val="FFFFFF" w:themeColor="background1"/>
              </w:rPr>
            </w:pPr>
            <w:r>
              <w:rPr>
                <w:b/>
                <w:bCs/>
                <w:noProof/>
                <w:color w:val="FFFFFF" w:themeColor="background1"/>
              </w:rPr>
              <w:t>Expectation MPharm degree</w:t>
            </w:r>
          </w:p>
        </w:tc>
        <w:tc>
          <w:tcPr>
            <w:tcW w:w="1418"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058CF1C1" w14:textId="77777777" w:rsidR="001B7D28" w:rsidRDefault="001B7D28">
            <w:pPr>
              <w:rPr>
                <w:b/>
                <w:bCs/>
                <w:noProof/>
                <w:color w:val="FFFFFF" w:themeColor="background1"/>
              </w:rPr>
            </w:pPr>
            <w:r>
              <w:rPr>
                <w:b/>
                <w:bCs/>
                <w:noProof/>
                <w:color w:val="FFFFFF" w:themeColor="background1"/>
              </w:rPr>
              <w:t>Expectation foundation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Mar>
              <w:top w:w="0" w:type="dxa"/>
              <w:left w:w="108" w:type="dxa"/>
              <w:bottom w:w="0" w:type="dxa"/>
              <w:right w:w="108" w:type="dxa"/>
            </w:tcMar>
          </w:tcPr>
          <w:p w14:paraId="0B232A45" w14:textId="77777777" w:rsidR="001B7D28" w:rsidRDefault="001B7D28">
            <w:pPr>
              <w:rPr>
                <w:b/>
                <w:bCs/>
                <w:noProof/>
                <w:color w:val="FFFFFF" w:themeColor="background1"/>
              </w:rPr>
            </w:pPr>
          </w:p>
        </w:tc>
      </w:tr>
      <w:tr w:rsidR="001B7D28" w14:paraId="6D6CCE33" w14:textId="77777777" w:rsidTr="001B7D28">
        <w:trPr>
          <w:trHeight w:val="265"/>
        </w:trPr>
        <w:tc>
          <w:tcPr>
            <w:tcW w:w="16582" w:type="dxa"/>
            <w:gridSpan w:val="2"/>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698037D2" w14:textId="77777777" w:rsidR="001B7D28" w:rsidRDefault="001B7D28">
            <w:pPr>
              <w:spacing w:after="0"/>
              <w:rPr>
                <w:rFonts w:asciiTheme="majorHAnsi" w:eastAsiaTheme="majorEastAsia" w:hAnsiTheme="majorHAnsi" w:cstheme="majorBidi"/>
                <w:color w:val="FFFFFF" w:themeColor="background1"/>
                <w:sz w:val="26"/>
                <w:szCs w:val="26"/>
              </w:rPr>
            </w:pPr>
          </w:p>
        </w:tc>
        <w:tc>
          <w:tcPr>
            <w:tcW w:w="1417"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76EA5C43" w14:textId="77777777" w:rsidR="001B7D28" w:rsidRDefault="001B7D28">
            <w:pPr>
              <w:spacing w:after="0"/>
              <w:rPr>
                <w:b/>
                <w:bCs/>
                <w:noProof/>
                <w:color w:val="FFFFFF" w:themeColor="background1"/>
              </w:rPr>
            </w:pPr>
          </w:p>
        </w:tc>
        <w:tc>
          <w:tcPr>
            <w:tcW w:w="1418"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17E2628A" w14:textId="77777777" w:rsidR="001B7D28" w:rsidRDefault="001B7D28">
            <w:pPr>
              <w:spacing w:after="0"/>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2EB06B2" w14:textId="77777777" w:rsidR="001B7D28" w:rsidRDefault="001B7D28">
            <w:pPr>
              <w:rPr>
                <w:noProof/>
                <w:color w:val="FFFFFF" w:themeColor="background1"/>
                <w:sz w:val="20"/>
                <w:szCs w:val="20"/>
              </w:rPr>
            </w:pPr>
            <w:r>
              <w:rPr>
                <w:noProof/>
                <w:color w:val="FFFFFF" w:themeColor="background1"/>
                <w:sz w:val="20"/>
                <w:szCs w:val="20"/>
              </w:rPr>
              <w:t>Accrediation team use only:</w:t>
            </w:r>
          </w:p>
        </w:tc>
      </w:tr>
      <w:tr w:rsidR="001B7D28" w14:paraId="1B4BFCCA"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022F7E2E" w14:textId="77777777" w:rsidR="001B7D28" w:rsidRDefault="001B7D28" w:rsidP="001B7D28">
            <w:pPr>
              <w:pStyle w:val="ListParagraph"/>
              <w:numPr>
                <w:ilvl w:val="0"/>
                <w:numId w:val="32"/>
              </w:numPr>
              <w:ind w:left="416" w:hanging="426"/>
              <w:rPr>
                <w:noProof/>
              </w:rPr>
            </w:pPr>
            <w:r>
              <w:rPr>
                <w:noProof/>
              </w:rPr>
              <w:t>Demonstrate the values, attitudes and behaviours expected of a pharmacy professional at all times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30863BB" w14:textId="77777777" w:rsidR="001B7D28" w:rsidRDefault="001B7D28">
            <w:pPr>
              <w:rPr>
                <w:b/>
                <w:bCs/>
                <w:noProof/>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3E6DF8B" w14:textId="77777777" w:rsidR="001B7D28" w:rsidRDefault="001B7D28">
            <w:pPr>
              <w:rPr>
                <w:b/>
                <w:bCs/>
                <w:noProof/>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B1AA38C"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461083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80119B5"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5142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D442BAA" w14:textId="77777777" w:rsidR="001B7D28" w:rsidRDefault="001B7D28">
            <w:pPr>
              <w:spacing w:after="0"/>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38729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34E1E83E"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D2D97AA" w14:textId="77777777" w:rsidR="001B7D28" w:rsidRDefault="001B7D28" w:rsidP="001B7D28">
            <w:pPr>
              <w:pStyle w:val="ListParagraph"/>
              <w:numPr>
                <w:ilvl w:val="0"/>
                <w:numId w:val="32"/>
              </w:numPr>
              <w:ind w:left="416" w:hanging="426"/>
              <w:rPr>
                <w:noProof/>
              </w:rPr>
            </w:pPr>
            <w:r>
              <w:rPr>
                <w:noProof/>
              </w:rPr>
              <w:lastRenderedPageBreak/>
              <w:t>Apply professional judgement in all circumstances, taking legal and ethical reasoning into account</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9203D21"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4D61C2B"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50356CA"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460513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C2573ED"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719971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63DD1E5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371842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375754EF"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99756EF" w14:textId="77777777" w:rsidR="001B7D28" w:rsidRDefault="001B7D28" w:rsidP="001B7D28">
            <w:pPr>
              <w:pStyle w:val="ListParagraph"/>
              <w:numPr>
                <w:ilvl w:val="0"/>
                <w:numId w:val="32"/>
              </w:numPr>
              <w:ind w:left="416" w:hanging="426"/>
              <w:rPr>
                <w:noProof/>
              </w:rPr>
            </w:pPr>
            <w:r>
              <w:rPr>
                <w:noProof/>
              </w:rPr>
              <w:t xml:space="preserve">Recognise and work within the limits of their knowledge and skills, and get support and refer to others when they need to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DEEE272"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071FE29"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030676C"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249125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BFC963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608691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641C939A"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73355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129ECA1"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C62346F" w14:textId="77777777" w:rsidR="001B7D28" w:rsidRDefault="001B7D28" w:rsidP="001B7D28">
            <w:pPr>
              <w:pStyle w:val="ListParagraph"/>
              <w:numPr>
                <w:ilvl w:val="0"/>
                <w:numId w:val="32"/>
              </w:numPr>
              <w:ind w:left="416" w:hanging="426"/>
              <w:rPr>
                <w:noProof/>
              </w:rPr>
            </w:pPr>
            <w:r>
              <w:rPr>
                <w:noProof/>
              </w:rPr>
              <w:t xml:space="preserve">Take responsibility for all aspects of pharmacy services, and make sure that the care and services provided are safe and accurate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4E825779"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9628BEE"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49F1488"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550923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5E394F9"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22932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6D7000E"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49615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620DD7C"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067CAA1" w14:textId="77777777" w:rsidR="001B7D28" w:rsidRDefault="001B7D28" w:rsidP="001B7D28">
            <w:pPr>
              <w:pStyle w:val="ListParagraph"/>
              <w:numPr>
                <w:ilvl w:val="0"/>
                <w:numId w:val="32"/>
              </w:numPr>
              <w:ind w:left="416" w:hanging="426"/>
              <w:rPr>
                <w:noProof/>
              </w:rPr>
            </w:pPr>
            <w:r>
              <w:rPr>
                <w:noProof/>
              </w:rPr>
              <w:t xml:space="preserve">Take responsibility for all aspects of health and safety and take actions when necessary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8D5834A"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21A9104"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203A05D8"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976102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CFEFC91"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813225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0D2C435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648108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DA88552"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5DDDFAC" w14:textId="77777777" w:rsidR="001B7D28" w:rsidRDefault="001B7D28" w:rsidP="001B7D28">
            <w:pPr>
              <w:pStyle w:val="ListParagraph"/>
              <w:numPr>
                <w:ilvl w:val="0"/>
                <w:numId w:val="32"/>
              </w:numPr>
              <w:ind w:left="416" w:hanging="426"/>
              <w:rPr>
                <w:noProof/>
              </w:rPr>
            </w:pPr>
            <w:r>
              <w:rPr>
                <w:noProof/>
              </w:rPr>
              <w:t xml:space="preserve">Act openly and honestly when things go wrong and raise concerns even when it is not easy to do so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BDAAC9E"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F1CE8C9"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31B5A7B"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070584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B6B1D5C"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73409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7525C3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46279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3638A47"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50F5E61" w14:textId="77777777" w:rsidR="001B7D28" w:rsidRDefault="001B7D28" w:rsidP="001B7D28">
            <w:pPr>
              <w:pStyle w:val="ListParagraph"/>
              <w:numPr>
                <w:ilvl w:val="0"/>
                <w:numId w:val="32"/>
              </w:numPr>
              <w:ind w:left="416" w:hanging="426"/>
              <w:rPr>
                <w:noProof/>
              </w:rPr>
            </w:pPr>
            <w:r>
              <w:rPr>
                <w:noProof/>
              </w:rPr>
              <w:t>Apply the science behind pharmacy in all activities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9A45C93"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018022C3"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2BC23E86"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048313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5E5708C"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26101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E1B9658"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8909808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41C3B89"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CBCBD9A" w14:textId="77777777" w:rsidR="001B7D28" w:rsidRDefault="001B7D28" w:rsidP="001B7D28">
            <w:pPr>
              <w:pStyle w:val="ListParagraph"/>
              <w:numPr>
                <w:ilvl w:val="0"/>
                <w:numId w:val="32"/>
              </w:numPr>
              <w:ind w:left="416" w:hanging="426"/>
              <w:rPr>
                <w:noProof/>
              </w:rPr>
            </w:pPr>
            <w:r>
              <w:rPr>
                <w:noProof/>
              </w:rPr>
              <w:t xml:space="preserve">Demonstrate how the science behind pharmacy is applied in the discovery, design, development and safety testing 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FC2A7CA"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9ABF17D" w14:textId="77777777" w:rsidR="001B7D28" w:rsidRDefault="001B7D28">
            <w:pPr>
              <w:rPr>
                <w:b/>
                <w:bCs/>
              </w:rPr>
            </w:pPr>
            <w:r>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45BFAAF"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3196312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07AD0736"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042154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3FA4B02"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4793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B145F61"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A24A5E6" w14:textId="77777777" w:rsidR="001B7D28" w:rsidRDefault="001B7D28" w:rsidP="001B7D28">
            <w:pPr>
              <w:pStyle w:val="ListParagraph"/>
              <w:numPr>
                <w:ilvl w:val="0"/>
                <w:numId w:val="32"/>
              </w:numPr>
              <w:ind w:left="416" w:hanging="426"/>
              <w:rPr>
                <w:noProof/>
              </w:rPr>
            </w:pPr>
            <w:r>
              <w:rPr>
                <w:noProof/>
              </w:rPr>
              <w:t>Recognise the technologies that are behind developing advanced therapeutic medicinal products and precision medicines, including the formulation, supply and quality assurance of these therapeutic agents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AFD4C0E"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25BBDAE"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4889B2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8252998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7B4B99A"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1463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B4116C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84089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1492E017"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79C132F" w14:textId="77777777" w:rsidR="001B7D28" w:rsidRDefault="001B7D28" w:rsidP="001B7D28">
            <w:pPr>
              <w:pStyle w:val="ListParagraph"/>
              <w:numPr>
                <w:ilvl w:val="0"/>
                <w:numId w:val="32"/>
              </w:numPr>
              <w:ind w:left="416" w:hanging="426"/>
              <w:rPr>
                <w:noProof/>
              </w:rPr>
            </w:pPr>
            <w:r>
              <w:rPr>
                <w:noProof/>
              </w:rPr>
              <w:t>Keep abreast of new technologies and use data and digital technologies to improve clinical outcomes and patient safety, keeping to information governance principles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998D129"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69CD8A1"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A2F5DF3"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84478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633F55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020106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258D291"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8304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AF06528"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1AB9CE8" w14:textId="77777777" w:rsidR="001B7D28" w:rsidRDefault="001B7D28" w:rsidP="001B7D28">
            <w:pPr>
              <w:pStyle w:val="ListParagraph"/>
              <w:numPr>
                <w:ilvl w:val="0"/>
                <w:numId w:val="32"/>
              </w:numPr>
              <w:ind w:left="416" w:hanging="426"/>
              <w:rPr>
                <w:noProof/>
              </w:rPr>
            </w:pPr>
            <w:r>
              <w:rPr>
                <w:noProof/>
              </w:rPr>
              <w:t xml:space="preserve">Apply pharmaceutical principles to the safe and effective formulation, preparation, packaging and disposal of medicines and products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FAF6639" w14:textId="77777777" w:rsidR="001B7D28" w:rsidRDefault="001B7D28">
            <w:pPr>
              <w:rPr>
                <w:b/>
                <w:bCs/>
              </w:rPr>
            </w:pPr>
            <w:r>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6F1486F" w14:textId="77777777" w:rsidR="001B7D28" w:rsidRDefault="001B7D28">
            <w:pPr>
              <w:rPr>
                <w:b/>
                <w:bCs/>
              </w:rPr>
            </w:pPr>
            <w:r>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174BF37"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73367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6D8623D"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75150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663DC661"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360627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BE18D41"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3659B48" w14:textId="77777777" w:rsidR="001B7D28" w:rsidRDefault="001B7D28" w:rsidP="001B7D28">
            <w:pPr>
              <w:pStyle w:val="ListParagraph"/>
              <w:numPr>
                <w:ilvl w:val="0"/>
                <w:numId w:val="32"/>
              </w:numPr>
              <w:ind w:left="416" w:hanging="426"/>
              <w:rPr>
                <w:noProof/>
              </w:rPr>
            </w:pPr>
            <w:r>
              <w:rPr>
                <w:noProof/>
              </w:rPr>
              <w:t>Consider the quality, safety and risks associated with medicines and products and take appropriate action when producing, supplying and prescribing them</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C02D46E" w14:textId="77777777" w:rsidR="001B7D28" w:rsidRDefault="001B7D28">
            <w:pPr>
              <w:rPr>
                <w:b/>
                <w:bCs/>
              </w:rPr>
            </w:pPr>
            <w:r>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39C2712" w14:textId="77777777" w:rsidR="001B7D28" w:rsidRDefault="001B7D28">
            <w:pPr>
              <w:rPr>
                <w:b/>
                <w:bCs/>
              </w:rPr>
            </w:pPr>
            <w:r>
              <w:rPr>
                <w:b/>
                <w:bCs/>
              </w:rPr>
              <w:t xml:space="preserve">Shows how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893D6B2"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5199086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AA05FDA"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467435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58A0B55"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36873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47BF758A"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06F4B422" w14:textId="77777777" w:rsidR="001B7D28" w:rsidRDefault="001B7D28" w:rsidP="001B7D28">
            <w:pPr>
              <w:pStyle w:val="ListParagraph"/>
              <w:numPr>
                <w:ilvl w:val="0"/>
                <w:numId w:val="32"/>
              </w:numPr>
              <w:ind w:left="416" w:hanging="426"/>
              <w:rPr>
                <w:noProof/>
              </w:rPr>
            </w:pPr>
            <w:r>
              <w:rPr>
                <w:noProof/>
              </w:rPr>
              <w:t xml:space="preserve">Take responsibility for the legal, safe and efficient supply, prescribing and administration 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4AF34B2"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00858149"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CBD814C"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278613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D1607CB"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44463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135CB2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447883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9C6AEBE"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70D138A" w14:textId="77777777" w:rsidR="001B7D28" w:rsidRDefault="001B7D28" w:rsidP="001B7D28">
            <w:pPr>
              <w:pStyle w:val="ListParagraph"/>
              <w:numPr>
                <w:ilvl w:val="0"/>
                <w:numId w:val="32"/>
              </w:numPr>
              <w:ind w:left="416" w:hanging="426"/>
              <w:rPr>
                <w:noProof/>
              </w:rPr>
            </w:pPr>
            <w:r>
              <w:rPr>
                <w:noProof/>
              </w:rPr>
              <w:lastRenderedPageBreak/>
              <w:t xml:space="preserve">Demonstrate effective diagnostic skills, including physical examination, to decide the most appropriate course of action for the person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BB357E4"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A3FBFF6"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AB41D3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1322081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4AD12FC1"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269110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621CD1D"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3477196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17E041D3"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062AADBB" w14:textId="77777777" w:rsidR="001B7D28" w:rsidRDefault="001B7D28" w:rsidP="001B7D28">
            <w:pPr>
              <w:pStyle w:val="ListParagraph"/>
              <w:numPr>
                <w:ilvl w:val="0"/>
                <w:numId w:val="32"/>
              </w:numPr>
              <w:ind w:left="416" w:hanging="426"/>
              <w:rPr>
                <w:noProof/>
              </w:rPr>
            </w:pPr>
            <w:r>
              <w:rPr>
                <w:noProof/>
              </w:rPr>
              <w:t>Apply the principles of clinical therapeutics, pharmacology and genomics to make effective use of medicines for people, including in their prescribing practice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2E579854"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17BAD99"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30BFB3AE"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36516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455CDFAB"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282671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6FD8B93"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912723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F2EF5B7"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149F0B4" w14:textId="77777777" w:rsidR="001B7D28" w:rsidRDefault="001B7D28" w:rsidP="001B7D28">
            <w:pPr>
              <w:pStyle w:val="ListParagraph"/>
              <w:numPr>
                <w:ilvl w:val="0"/>
                <w:numId w:val="32"/>
              </w:numPr>
              <w:ind w:left="416" w:hanging="426"/>
              <w:rPr>
                <w:noProof/>
              </w:rPr>
            </w:pPr>
            <w:r>
              <w:rPr>
                <w:noProof/>
              </w:rPr>
              <w:t>Appraise the evidence base and apply clinical reasoning and professional judgement to make safe and logical decisions which minimise risk and optimise outcomes for the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CA3F3F1"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8D25A7E"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8E64380"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464304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4B87A64"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77618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043C0F98"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657350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B40956F"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7952980" w14:textId="77777777" w:rsidR="001B7D28" w:rsidRDefault="001B7D28" w:rsidP="001B7D28">
            <w:pPr>
              <w:pStyle w:val="ListParagraph"/>
              <w:numPr>
                <w:ilvl w:val="0"/>
                <w:numId w:val="32"/>
              </w:numPr>
              <w:ind w:left="416" w:hanging="426"/>
              <w:rPr>
                <w:noProof/>
              </w:rPr>
            </w:pPr>
            <w:r>
              <w:rPr>
                <w:noProof/>
              </w:rPr>
              <w:t xml:space="preserve">Critically evaluate and use national guidelines and clinical evidence to support safe, rational and cost-effective procurement for the use, and prescribing of, medicines, devices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065D9EF"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E6675C5"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BC0FF80"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988601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616B1E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9269594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0FB4EEFA"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162552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2638972"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7B18808" w14:textId="77777777" w:rsidR="001B7D28" w:rsidRDefault="001B7D28" w:rsidP="001B7D28">
            <w:pPr>
              <w:pStyle w:val="ListParagraph"/>
              <w:numPr>
                <w:ilvl w:val="0"/>
                <w:numId w:val="32"/>
              </w:numPr>
              <w:ind w:left="416" w:hanging="426"/>
              <w:rPr>
                <w:noProof/>
              </w:rPr>
            </w:pPr>
            <w:r>
              <w:rPr>
                <w:noProof/>
              </w:rPr>
              <w:t xml:space="preserve">Accurately perform calculations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20BC8A67"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C164FAE"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EFBC43D"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9429949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BA44615"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26455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0821591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4139002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CEC9A92"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3F9C95D5" w14:textId="77777777" w:rsidR="001B7D28" w:rsidRDefault="001B7D28" w:rsidP="001B7D28">
            <w:pPr>
              <w:pStyle w:val="ListParagraph"/>
              <w:numPr>
                <w:ilvl w:val="0"/>
                <w:numId w:val="32"/>
              </w:numPr>
              <w:ind w:left="416" w:hanging="426"/>
              <w:rPr>
                <w:noProof/>
              </w:rPr>
            </w:pPr>
            <w:r>
              <w:rPr>
                <w:noProof/>
              </w:rPr>
              <w:t xml:space="preserve">Effectively promote healthy lifestyles using evidence-based techniques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52CE7CA"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6C5384D"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70DCEFE"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13038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7CACB21"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29976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9DF7732"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872357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9CB07A0"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BF2B1F9" w14:textId="77777777" w:rsidR="001B7D28" w:rsidRDefault="001B7D28" w:rsidP="001B7D28">
            <w:pPr>
              <w:pStyle w:val="ListParagraph"/>
              <w:numPr>
                <w:ilvl w:val="0"/>
                <w:numId w:val="32"/>
              </w:numPr>
              <w:ind w:left="416" w:hanging="426"/>
              <w:rPr>
                <w:noProof/>
              </w:rPr>
            </w:pPr>
            <w:r>
              <w:rPr>
                <w:noProof/>
              </w:rPr>
              <w:t>Apply the principles of effective monitoring and management to improve health outcomes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8A27CB1"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C9666F8"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0F91BAC"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429500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FA77EAF"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92883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7B3DA50"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309365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5CCB5A9"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CF079C9" w14:textId="77777777" w:rsidR="001B7D28" w:rsidRDefault="001B7D28" w:rsidP="001B7D28">
            <w:pPr>
              <w:pStyle w:val="ListParagraph"/>
              <w:numPr>
                <w:ilvl w:val="0"/>
                <w:numId w:val="32"/>
              </w:numPr>
              <w:ind w:left="416" w:hanging="426"/>
              <w:rPr>
                <w:noProof/>
              </w:rPr>
            </w:pPr>
            <w:r>
              <w:rPr>
                <w:noProof/>
              </w:rPr>
              <w:t>Anticipate and recognise adverse drug reactions, and recognise the need to apply the principles of pharmacovigilance</w:t>
            </w:r>
            <w:r>
              <w:rPr>
                <w:noProof/>
                <w:vertAlign w:val="superscript"/>
              </w:rPr>
              <w:footnoteReference w:id="1"/>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07D0D1B" w14:textId="77777777" w:rsidR="001B7D28" w:rsidRDefault="001B7D28">
            <w:pPr>
              <w:rPr>
                <w:b/>
                <w:bCs/>
              </w:rPr>
            </w:pPr>
            <w:r>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86C8CAB"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75D3703"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477777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E146572"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423990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6F84D42D"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70882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BD51738"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9620337" w14:textId="77777777" w:rsidR="001B7D28" w:rsidRDefault="001B7D28" w:rsidP="001B7D28">
            <w:pPr>
              <w:pStyle w:val="ListParagraph"/>
              <w:numPr>
                <w:ilvl w:val="0"/>
                <w:numId w:val="32"/>
              </w:numPr>
              <w:ind w:left="416" w:hanging="426"/>
              <w:rPr>
                <w:noProof/>
              </w:rPr>
            </w:pPr>
            <w:r>
              <w:rPr>
                <w:noProof/>
              </w:rPr>
              <w:t>Apply relevant legislation and ethical decision-making related to prescribing, including remote prescribing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0222142" w14:textId="77777777" w:rsidR="001B7D28" w:rsidRDefault="001B7D28">
            <w:pPr>
              <w:rPr>
                <w:b/>
                <w:bCs/>
              </w:rPr>
            </w:pPr>
            <w:r>
              <w:rPr>
                <w:b/>
                <w:bCs/>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862B75F"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E217B8B"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1380555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58D8101"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863130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709AC06D"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360891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05ED2FA"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38E8C8D7" w14:textId="77777777" w:rsidR="001B7D28" w:rsidRDefault="001B7D28" w:rsidP="001B7D28">
            <w:pPr>
              <w:pStyle w:val="ListParagraph"/>
              <w:numPr>
                <w:ilvl w:val="0"/>
                <w:numId w:val="32"/>
              </w:numPr>
              <w:ind w:left="416" w:hanging="426"/>
              <w:rPr>
                <w:noProof/>
              </w:rPr>
            </w:pPr>
            <w:r>
              <w:rPr>
                <w:noProof/>
              </w:rPr>
              <w:t>Prescribe effectively within the relevant systems and frameworks for medicines use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56D9F92"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98F781B"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3FFF9C5E"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93204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4C1EA5F4"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7339840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ED15962"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38128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D7EF271"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0D09A82" w14:textId="77777777" w:rsidR="001B7D28" w:rsidRDefault="001B7D28" w:rsidP="001B7D28">
            <w:pPr>
              <w:pStyle w:val="ListParagraph"/>
              <w:numPr>
                <w:ilvl w:val="0"/>
                <w:numId w:val="32"/>
              </w:numPr>
              <w:ind w:left="416" w:hanging="426"/>
              <w:rPr>
                <w:noProof/>
              </w:rPr>
            </w:pPr>
            <w:r>
              <w:rPr>
                <w:noProof/>
              </w:rPr>
              <w:lastRenderedPageBreak/>
              <w:t>Understand clinical governance in relation to prescribing, while also considering that the prescriber may be in a position to supply the prescribed medicines to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DC45753"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3056ECC9"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1C6A880"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2240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0D3AE2F0"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12985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720B9A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3380757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DF8C66E"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A27AA6B" w14:textId="77777777" w:rsidR="001B7D28" w:rsidRDefault="001B7D28" w:rsidP="001B7D28">
            <w:pPr>
              <w:pStyle w:val="ListParagraph"/>
              <w:numPr>
                <w:ilvl w:val="0"/>
                <w:numId w:val="32"/>
              </w:numPr>
              <w:ind w:left="416" w:hanging="426"/>
              <w:rPr>
                <w:noProof/>
              </w:rPr>
            </w:pPr>
            <w:r>
              <w:rPr>
                <w:noProof/>
              </w:rPr>
              <w:t xml:space="preserve">Take responsibility for people’s health records, including the legality, appropriateness, accuracy, security and confidentiality of personal data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EC1D51D"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D199852"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9F55302"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614811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037E7009"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09521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49CC9D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363702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90D210F"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3BE124B5" w14:textId="77777777" w:rsidR="001B7D28" w:rsidRDefault="001B7D28" w:rsidP="001B7D28">
            <w:pPr>
              <w:pStyle w:val="ListParagraph"/>
              <w:numPr>
                <w:ilvl w:val="0"/>
                <w:numId w:val="32"/>
              </w:numPr>
              <w:ind w:left="416" w:hanging="426"/>
              <w:rPr>
                <w:noProof/>
              </w:rPr>
            </w:pPr>
            <w:r>
              <w:rPr>
                <w:noProof/>
              </w:rPr>
              <w:t>Understand and implement relevant safeguarding procedures, including local and national guidance in relation to each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4749F6D1"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B8E7934"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23CCB275"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01386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EE70200"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710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7F44AF7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64964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CA70210"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7B9FD69" w14:textId="77777777" w:rsidR="001B7D28" w:rsidRDefault="001B7D28" w:rsidP="001B7D28">
            <w:pPr>
              <w:pStyle w:val="ListParagraph"/>
              <w:numPr>
                <w:ilvl w:val="0"/>
                <w:numId w:val="32"/>
              </w:numPr>
              <w:ind w:left="416" w:hanging="426"/>
              <w:rPr>
                <w:noProof/>
              </w:rPr>
            </w:pPr>
            <w:r>
              <w:rPr>
                <w:noProof/>
              </w:rPr>
              <w:t>Effectively make use of local and national health and social care policies to improve health outcomes and public health, and to address health inequalities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153B917E"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9495B47"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E3F77B9"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897773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3E0F89A"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7836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48AE2AA6"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014698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4C8A45E"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0E06FEE6" w14:textId="77777777" w:rsidR="001B7D28" w:rsidRDefault="001B7D28" w:rsidP="001B7D28">
            <w:pPr>
              <w:pStyle w:val="ListParagraph"/>
              <w:numPr>
                <w:ilvl w:val="0"/>
                <w:numId w:val="32"/>
              </w:numPr>
              <w:ind w:left="416" w:hanging="426"/>
              <w:rPr>
                <w:noProof/>
              </w:rPr>
            </w:pPr>
            <w:r>
              <w:rPr>
                <w:noProof/>
              </w:rPr>
              <w:t xml:space="preserve">Proactively participate in the promotion and protection of public health in their practice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D6D844A"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D78D058"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EDD820F"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2551991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2D334D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2808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BA0040F"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925456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FD9A6CC"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05679B9" w14:textId="77777777" w:rsidR="001B7D28" w:rsidRDefault="001B7D28" w:rsidP="001B7D28">
            <w:pPr>
              <w:pStyle w:val="ListParagraph"/>
              <w:numPr>
                <w:ilvl w:val="0"/>
                <w:numId w:val="32"/>
              </w:numPr>
              <w:ind w:left="416" w:hanging="426"/>
              <w:rPr>
                <w:noProof/>
              </w:rPr>
            </w:pPr>
            <w:r>
              <w:rPr>
                <w:noProof/>
              </w:rPr>
              <w:t>Identify misuse of medicines and implement effective strategies to deal with this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5088844D"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0484C80"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0AB8BC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0856291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01D99B3"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713887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A9E240C"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769215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AE63D82"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BE089B2" w14:textId="77777777" w:rsidR="001B7D28" w:rsidRDefault="001B7D28" w:rsidP="001B7D28">
            <w:pPr>
              <w:pStyle w:val="ListParagraph"/>
              <w:numPr>
                <w:ilvl w:val="0"/>
                <w:numId w:val="32"/>
              </w:numPr>
              <w:ind w:left="416" w:hanging="426"/>
              <w:rPr>
                <w:noProof/>
              </w:rPr>
            </w:pPr>
            <w:r>
              <w:rPr>
                <w:noProof/>
              </w:rPr>
              <w:t xml:space="preserve">Respond appropriately to medical emergencies, including the provision of first aid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00F443C" w14:textId="77777777" w:rsidR="001B7D28" w:rsidRDefault="001B7D28">
            <w:pPr>
              <w:rPr>
                <w:b/>
                <w:bCs/>
              </w:rPr>
            </w:pPr>
            <w:r>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4B99214" w14:textId="77777777" w:rsidR="001B7D28" w:rsidRDefault="001B7D28">
            <w:pPr>
              <w:rPr>
                <w:b/>
                <w:bCs/>
              </w:rPr>
            </w:pPr>
            <w:r>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1E25F2C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9597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30DF1974"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179869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79E03F38"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747202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C108851"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5DD268EF" w14:textId="77777777" w:rsidR="001B7D28" w:rsidRDefault="001B7D28">
            <w:pPr>
              <w:rPr>
                <w:b/>
                <w:bCs/>
                <w:noProof/>
              </w:rPr>
            </w:pPr>
            <w:r>
              <w:rPr>
                <w:b/>
                <w:bCs/>
                <w:noProof/>
              </w:rPr>
              <w:t>How and where does the programme support students to achieve the learning outcomes within this domain?</w:t>
            </w:r>
          </w:p>
        </w:tc>
      </w:tr>
      <w:tr w:rsidR="001B7D28" w14:paraId="19FAFECD"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514A700E"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2FB9A0D4"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7F5BB363"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7BFDDD04"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5514CCA0"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25C33729"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4D0DCECC" w14:textId="77777777" w:rsidR="001B7D28" w:rsidRDefault="001B7D28">
            <w:pPr>
              <w:rPr>
                <w:rFonts w:ascii="Calibri" w:hAnsi="Calibri" w:cs="Calibri"/>
                <w:b/>
                <w:bCs/>
              </w:rPr>
            </w:pPr>
            <w:r>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1B7D28" w14:paraId="2D0CE9BD"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tcMar>
              <w:top w:w="0" w:type="dxa"/>
              <w:left w:w="108" w:type="dxa"/>
              <w:bottom w:w="0" w:type="dxa"/>
              <w:right w:w="108" w:type="dxa"/>
            </w:tcMar>
            <w:hideMark/>
          </w:tcPr>
          <w:p w14:paraId="4D27EB92"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0F852B6A"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02DF4027"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49ACC5F3"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0432D473"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lastRenderedPageBreak/>
              <w:t>(expand as necessary)</w:t>
            </w:r>
          </w:p>
        </w:tc>
      </w:tr>
      <w:tr w:rsidR="001B7D28" w14:paraId="749B35E6" w14:textId="77777777" w:rsidTr="001B7D28">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Mar>
              <w:top w:w="0" w:type="dxa"/>
              <w:left w:w="108" w:type="dxa"/>
              <w:bottom w:w="0" w:type="dxa"/>
              <w:right w:w="108" w:type="dxa"/>
            </w:tcMar>
            <w:hideMark/>
          </w:tcPr>
          <w:p w14:paraId="636FC6B5"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5226FFCB" w14:textId="77777777" w:rsidR="001B7D28" w:rsidRDefault="001B7D28">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D2FFA1E"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Cs/>
                <w:color w:val="00759B"/>
              </w:rPr>
              <w:t>X</w:t>
            </w:r>
          </w:p>
        </w:tc>
      </w:tr>
      <w:tr w:rsidR="001B7D28" w14:paraId="7665CF6C" w14:textId="77777777" w:rsidTr="001B7D28">
        <w:trPr>
          <w:trHeight w:val="665"/>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016FB311" w14:textId="77777777" w:rsidR="001B7D28" w:rsidRDefault="001B7D28" w:rsidP="001B7D28">
            <w:pPr>
              <w:pStyle w:val="Heading2"/>
              <w:rPr>
                <w:b w:val="0"/>
                <w:color w:val="FFFFFF" w:themeColor="background1"/>
              </w:rPr>
            </w:pPr>
            <w:bookmarkStart w:id="17" w:name="_Toc92277462"/>
            <w:bookmarkStart w:id="18" w:name="_Toc92960545"/>
            <w:r>
              <w:rPr>
                <w:bCs/>
                <w:color w:val="FFFFFF" w:themeColor="background1"/>
              </w:rPr>
              <w:t>Domain:</w:t>
            </w:r>
            <w:r>
              <w:rPr>
                <w:color w:val="FFFFFF" w:themeColor="background1"/>
              </w:rPr>
              <w:t xml:space="preserve"> Leadership and management </w:t>
            </w:r>
            <w:r>
              <w:rPr>
                <w:bCs/>
                <w:color w:val="FFFFFF" w:themeColor="background1"/>
              </w:rPr>
              <w:t>(Learning outcomes 45 - 52)</w:t>
            </w:r>
            <w:bookmarkEnd w:id="17"/>
            <w:bookmarkEnd w:id="18"/>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3535460E" w14:textId="77777777" w:rsidR="001B7D28" w:rsidRDefault="001B7D28">
            <w:pPr>
              <w:rPr>
                <w:b/>
                <w:bCs/>
                <w:noProof/>
                <w:color w:val="FFFFFF" w:themeColor="background1"/>
              </w:rPr>
            </w:pPr>
            <w:r>
              <w:rPr>
                <w:b/>
                <w:bCs/>
                <w:noProof/>
                <w:color w:val="FFFFFF" w:themeColor="background1"/>
              </w:rPr>
              <w:t>Expectation MPharm degree</w:t>
            </w:r>
          </w:p>
        </w:tc>
        <w:tc>
          <w:tcPr>
            <w:tcW w:w="1418"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57CD4760" w14:textId="77777777" w:rsidR="001B7D28" w:rsidRDefault="001B7D28">
            <w:pPr>
              <w:rPr>
                <w:b/>
                <w:bCs/>
                <w:noProof/>
                <w:color w:val="FFFFFF" w:themeColor="background1"/>
              </w:rPr>
            </w:pPr>
            <w:r>
              <w:rPr>
                <w:b/>
                <w:bCs/>
                <w:noProof/>
                <w:color w:val="FFFFFF" w:themeColor="background1"/>
              </w:rPr>
              <w:t>Expectation foundation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Mar>
              <w:top w:w="0" w:type="dxa"/>
              <w:left w:w="108" w:type="dxa"/>
              <w:bottom w:w="0" w:type="dxa"/>
              <w:right w:w="108" w:type="dxa"/>
            </w:tcMar>
          </w:tcPr>
          <w:p w14:paraId="79380D5E" w14:textId="77777777" w:rsidR="001B7D28" w:rsidRDefault="001B7D28">
            <w:pPr>
              <w:rPr>
                <w:b/>
                <w:bCs/>
                <w:noProof/>
                <w:color w:val="FFFFFF" w:themeColor="background1"/>
              </w:rPr>
            </w:pPr>
          </w:p>
        </w:tc>
      </w:tr>
      <w:tr w:rsidR="001B7D28" w14:paraId="52C1966F" w14:textId="77777777" w:rsidTr="001B7D28">
        <w:trPr>
          <w:trHeight w:val="265"/>
        </w:trPr>
        <w:tc>
          <w:tcPr>
            <w:tcW w:w="16582" w:type="dxa"/>
            <w:gridSpan w:val="2"/>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3AD3613D" w14:textId="77777777" w:rsidR="001B7D28" w:rsidRDefault="001B7D28">
            <w:pPr>
              <w:spacing w:after="0"/>
              <w:rPr>
                <w:rFonts w:asciiTheme="majorHAnsi" w:eastAsiaTheme="majorEastAsia" w:hAnsiTheme="majorHAnsi" w:cstheme="majorBidi"/>
                <w:color w:val="FFFFFF" w:themeColor="background1"/>
                <w:sz w:val="26"/>
                <w:szCs w:val="26"/>
              </w:rPr>
            </w:pPr>
          </w:p>
        </w:tc>
        <w:tc>
          <w:tcPr>
            <w:tcW w:w="1417"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5A463681" w14:textId="77777777" w:rsidR="001B7D28" w:rsidRDefault="001B7D28">
            <w:pPr>
              <w:spacing w:after="0"/>
              <w:rPr>
                <w:b/>
                <w:bCs/>
                <w:noProof/>
                <w:color w:val="FFFFFF" w:themeColor="background1"/>
              </w:rPr>
            </w:pPr>
          </w:p>
        </w:tc>
        <w:tc>
          <w:tcPr>
            <w:tcW w:w="1418"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52A5C86E" w14:textId="77777777" w:rsidR="001B7D28" w:rsidRDefault="001B7D28">
            <w:pPr>
              <w:spacing w:after="0"/>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3D070E6F" w14:textId="77777777" w:rsidR="001B7D28" w:rsidRDefault="001B7D28">
            <w:pPr>
              <w:rPr>
                <w:noProof/>
                <w:color w:val="FFFFFF" w:themeColor="background1"/>
                <w:sz w:val="20"/>
                <w:szCs w:val="20"/>
              </w:rPr>
            </w:pPr>
            <w:r>
              <w:rPr>
                <w:noProof/>
                <w:color w:val="FFFFFF" w:themeColor="background1"/>
                <w:sz w:val="20"/>
                <w:szCs w:val="20"/>
              </w:rPr>
              <w:t>Accrediation team use only:</w:t>
            </w:r>
          </w:p>
        </w:tc>
      </w:tr>
      <w:tr w:rsidR="001B7D28" w14:paraId="6569A177"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7B4FF8E" w14:textId="77777777" w:rsidR="001B7D28" w:rsidRDefault="001B7D28" w:rsidP="001B7D28">
            <w:pPr>
              <w:pStyle w:val="ListParagraph"/>
              <w:numPr>
                <w:ilvl w:val="0"/>
                <w:numId w:val="32"/>
              </w:numPr>
              <w:ind w:left="416" w:hanging="426"/>
              <w:rPr>
                <w:noProof/>
              </w:rPr>
            </w:pPr>
            <w:r>
              <w:rPr>
                <w:noProof/>
              </w:rPr>
              <w:t xml:space="preserve">Demonstrate effective leadership and management skills as part of the multi-disciplinary team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25BCE59F" w14:textId="77777777" w:rsidR="001B7D28" w:rsidRDefault="001B7D28">
            <w:pPr>
              <w:rPr>
                <w:b/>
                <w:bCs/>
                <w:noProof/>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AC1C1FA" w14:textId="77777777" w:rsidR="001B7D28" w:rsidRDefault="001B7D28">
            <w:pPr>
              <w:rPr>
                <w:b/>
                <w:bCs/>
                <w:noProof/>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63B7D05"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57767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4338038E"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09755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6ED3726" w14:textId="77777777" w:rsidR="001B7D28" w:rsidRDefault="001B7D28">
            <w:pPr>
              <w:spacing w:after="0"/>
              <w:rPr>
                <w:b/>
                <w:bCs/>
                <w:noProof/>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8011942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390F669"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0644B51" w14:textId="77777777" w:rsidR="001B7D28" w:rsidRDefault="001B7D28" w:rsidP="001B7D28">
            <w:pPr>
              <w:pStyle w:val="ListParagraph"/>
              <w:numPr>
                <w:ilvl w:val="0"/>
                <w:numId w:val="32"/>
              </w:numPr>
              <w:ind w:left="416" w:hanging="426"/>
              <w:rPr>
                <w:noProof/>
              </w:rPr>
            </w:pPr>
            <w:r>
              <w:rPr>
                <w:noProof/>
              </w:rPr>
              <w:t>Make use of the skills and knowledge of other members of the multi-disciplinary team to manage resources and priorities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42AA2A48"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1524ED6B"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4B4CC81"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523738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7165843"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499342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5F44F5A7"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7437757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2567FF4"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B4A05D2" w14:textId="77777777" w:rsidR="001B7D28" w:rsidRDefault="001B7D28" w:rsidP="001B7D28">
            <w:pPr>
              <w:pStyle w:val="ListParagraph"/>
              <w:numPr>
                <w:ilvl w:val="0"/>
                <w:numId w:val="32"/>
              </w:numPr>
              <w:ind w:left="416" w:hanging="426"/>
              <w:rPr>
                <w:noProof/>
              </w:rPr>
            </w:pPr>
            <w:r>
              <w:rPr>
                <w:noProof/>
              </w:rPr>
              <w:t xml:space="preserve">Develop, lead and apply effective strategies to improve the quality of care and safe use of medicines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01CDFD85" w14:textId="77777777" w:rsidR="001B7D28" w:rsidRDefault="001B7D28">
            <w:pPr>
              <w:rPr>
                <w:b/>
                <w:bCs/>
              </w:rPr>
            </w:pPr>
            <w:r>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56837B95"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D28D9AD"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295451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3338475"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537406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A6D68B4"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470965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2959B6B"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7B77A72D" w14:textId="77777777" w:rsidR="001B7D28" w:rsidRDefault="001B7D28" w:rsidP="001B7D28">
            <w:pPr>
              <w:pStyle w:val="ListParagraph"/>
              <w:numPr>
                <w:ilvl w:val="0"/>
                <w:numId w:val="32"/>
              </w:numPr>
              <w:ind w:left="416" w:hanging="426"/>
              <w:rPr>
                <w:noProof/>
              </w:rPr>
            </w:pPr>
            <w:r>
              <w:rPr>
                <w:noProof/>
              </w:rPr>
              <w:t>Actively take part in the management of risks and consider the impacts on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8556D26"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04911C3"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E3B403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380122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21AE6FA"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791162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6D1BE7B9"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527771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6F2EC266"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078316A" w14:textId="77777777" w:rsidR="001B7D28" w:rsidRDefault="001B7D28" w:rsidP="001B7D28">
            <w:pPr>
              <w:pStyle w:val="ListParagraph"/>
              <w:numPr>
                <w:ilvl w:val="0"/>
                <w:numId w:val="32"/>
              </w:numPr>
              <w:ind w:left="416" w:hanging="426"/>
              <w:rPr>
                <w:noProof/>
              </w:rPr>
            </w:pPr>
            <w:r>
              <w:rPr>
                <w:noProof/>
              </w:rPr>
              <w:t xml:space="preserve">Use tools and techniques to avoid medication errors associated with prescribing, supply and administration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E0C654F" w14:textId="77777777" w:rsidR="001B7D28" w:rsidRDefault="001B7D28">
            <w:pPr>
              <w:rPr>
                <w:b/>
                <w:bCs/>
              </w:rPr>
            </w:pPr>
            <w:r>
              <w:rPr>
                <w:b/>
                <w:bCs/>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7C974B35"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532D2358"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0693623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05B1C0D0"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8048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0F3E96E0"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96091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022A3920"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6FE4B7A4" w14:textId="77777777" w:rsidR="001B7D28" w:rsidRDefault="001B7D28" w:rsidP="001B7D28">
            <w:pPr>
              <w:pStyle w:val="ListParagraph"/>
              <w:numPr>
                <w:ilvl w:val="0"/>
                <w:numId w:val="32"/>
              </w:numPr>
              <w:ind w:left="416" w:hanging="426"/>
              <w:rPr>
                <w:noProof/>
              </w:rPr>
            </w:pPr>
            <w:r>
              <w:rPr>
                <w:noProof/>
              </w:rPr>
              <w:t>Take appropriate actions to respond to complaints, incidents or errors in a timely manner and to prevent them happening again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346600B2"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83578B7" w14:textId="77777777" w:rsidR="001B7D28" w:rsidRDefault="001B7D28">
            <w:pPr>
              <w:rPr>
                <w:b/>
                <w:bCs/>
              </w:rPr>
            </w:pPr>
            <w:r>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664EC55"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46608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8CB4947"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55738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9C6FED0"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20578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326AEB1A"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28DE1FA6" w14:textId="77777777" w:rsidR="001B7D28" w:rsidRDefault="001B7D28" w:rsidP="001B7D28">
            <w:pPr>
              <w:pStyle w:val="ListParagraph"/>
              <w:numPr>
                <w:ilvl w:val="0"/>
                <w:numId w:val="32"/>
              </w:numPr>
              <w:ind w:left="416" w:hanging="426"/>
              <w:rPr>
                <w:noProof/>
              </w:rPr>
            </w:pPr>
            <w:r>
              <w:rPr>
                <w:noProof/>
              </w:rPr>
              <w:t xml:space="preserve">Recognise when and how their performance or that of others could put people at risk and take appropriate actions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C70DE6C"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4111D224"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3B7811F"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208735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11E17E7F"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954047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2BE87C2"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32859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58D5B95"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ACA252D" w14:textId="77777777" w:rsidR="001B7D28" w:rsidRDefault="001B7D28" w:rsidP="001B7D28">
            <w:pPr>
              <w:pStyle w:val="ListParagraph"/>
              <w:numPr>
                <w:ilvl w:val="0"/>
                <w:numId w:val="32"/>
              </w:numPr>
              <w:ind w:left="416" w:hanging="426"/>
              <w:rPr>
                <w:noProof/>
              </w:rPr>
            </w:pPr>
            <w:r>
              <w:rPr>
                <w:noProof/>
              </w:rPr>
              <w:t xml:space="preserve">Demonstrate resilience and flexibility, and apply effective strategies to manage multiple priorities, uncertainty, complexity and change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48011C4B" w14:textId="77777777" w:rsidR="001B7D28" w:rsidRDefault="001B7D28">
            <w:pPr>
              <w:rPr>
                <w:b/>
                <w:bCs/>
              </w:rPr>
            </w:pPr>
            <w:r>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DA74721" w14:textId="77777777" w:rsidR="001B7D28" w:rsidRDefault="001B7D28">
            <w:pPr>
              <w:rPr>
                <w:b/>
                <w:bCs/>
              </w:rPr>
            </w:pPr>
            <w:r>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4560ADAE"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02587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28F3CD3F"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57723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2C15A5FB"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320048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2078FDBD"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2AFF5552" w14:textId="77777777" w:rsidR="001B7D28" w:rsidRDefault="001B7D28">
            <w:pPr>
              <w:rPr>
                <w:b/>
                <w:bCs/>
                <w:noProof/>
              </w:rPr>
            </w:pPr>
            <w:r>
              <w:rPr>
                <w:b/>
                <w:bCs/>
                <w:noProof/>
              </w:rPr>
              <w:t>How and where does the programme support students to achieve the learning outcomes within this domain?</w:t>
            </w:r>
          </w:p>
        </w:tc>
      </w:tr>
      <w:tr w:rsidR="001B7D28" w14:paraId="23973DE9"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5CAAF20F"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2514FE58"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316E4817"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lastRenderedPageBreak/>
              <w:t>X</w:t>
            </w:r>
          </w:p>
          <w:p w14:paraId="6ED07730"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4E796EAA"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2C31C410"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7C2ED86D" w14:textId="77777777" w:rsidR="001B7D28" w:rsidRDefault="001B7D28">
            <w:pPr>
              <w:rPr>
                <w:rFonts w:ascii="Calibri" w:hAnsi="Calibri" w:cs="Calibri"/>
                <w:b/>
                <w:bCs/>
              </w:rPr>
            </w:pPr>
            <w:r>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1B7D28" w14:paraId="03446019"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tcMar>
              <w:top w:w="0" w:type="dxa"/>
              <w:left w:w="108" w:type="dxa"/>
              <w:bottom w:w="0" w:type="dxa"/>
              <w:right w:w="108" w:type="dxa"/>
            </w:tcMar>
            <w:hideMark/>
          </w:tcPr>
          <w:p w14:paraId="0C3B5409"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5B1395EA"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196B1823"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3C89C04C"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0BA2E553"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3F603CC3" w14:textId="77777777" w:rsidTr="001B7D28">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Mar>
              <w:top w:w="0" w:type="dxa"/>
              <w:left w:w="108" w:type="dxa"/>
              <w:bottom w:w="0" w:type="dxa"/>
              <w:right w:w="108" w:type="dxa"/>
            </w:tcMar>
            <w:hideMark/>
          </w:tcPr>
          <w:p w14:paraId="7127425F"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A2A2590" w14:textId="77777777" w:rsidR="001B7D28" w:rsidRDefault="001B7D28">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DEFB0D9"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Cs/>
                <w:color w:val="00759B"/>
              </w:rPr>
              <w:t>X</w:t>
            </w:r>
          </w:p>
        </w:tc>
      </w:tr>
      <w:tr w:rsidR="001B7D28" w14:paraId="50BAA399" w14:textId="77777777" w:rsidTr="001B7D28">
        <w:trPr>
          <w:trHeight w:val="567"/>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6A07ED10" w14:textId="77777777" w:rsidR="001B7D28" w:rsidRDefault="001B7D28" w:rsidP="001B7D28">
            <w:pPr>
              <w:pStyle w:val="Heading2"/>
              <w:rPr>
                <w:b w:val="0"/>
                <w:color w:val="FFFFFF" w:themeColor="background1"/>
              </w:rPr>
            </w:pPr>
            <w:bookmarkStart w:id="19" w:name="_Toc92277463"/>
            <w:bookmarkStart w:id="20" w:name="_Toc92960546"/>
            <w:r>
              <w:rPr>
                <w:bCs/>
                <w:color w:val="FFFFFF" w:themeColor="background1"/>
              </w:rPr>
              <w:t>Domain:</w:t>
            </w:r>
            <w:r>
              <w:rPr>
                <w:color w:val="FFFFFF" w:themeColor="background1"/>
              </w:rPr>
              <w:t xml:space="preserve"> Education and research </w:t>
            </w:r>
            <w:proofErr w:type="gramStart"/>
            <w:r>
              <w:rPr>
                <w:color w:val="FFFFFF" w:themeColor="background1"/>
              </w:rPr>
              <w:t xml:space="preserve">   </w:t>
            </w:r>
            <w:r>
              <w:rPr>
                <w:bCs/>
                <w:color w:val="FFFFFF" w:themeColor="background1"/>
              </w:rPr>
              <w:t>(</w:t>
            </w:r>
            <w:proofErr w:type="gramEnd"/>
            <w:r>
              <w:rPr>
                <w:bCs/>
                <w:color w:val="FFFFFF" w:themeColor="background1"/>
              </w:rPr>
              <w:t>Learning outcomes 53 - 55)</w:t>
            </w:r>
            <w:bookmarkEnd w:id="19"/>
            <w:bookmarkEnd w:id="20"/>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4D1E720D" w14:textId="77777777" w:rsidR="001B7D28" w:rsidRDefault="001B7D28">
            <w:pPr>
              <w:rPr>
                <w:b/>
                <w:bCs/>
                <w:noProof/>
                <w:color w:val="FFFFFF" w:themeColor="background1"/>
              </w:rPr>
            </w:pPr>
            <w:r>
              <w:rPr>
                <w:b/>
                <w:bCs/>
                <w:noProof/>
                <w:color w:val="FFFFFF" w:themeColor="background1"/>
              </w:rPr>
              <w:t>Expectation MPharm degree</w:t>
            </w:r>
          </w:p>
        </w:tc>
        <w:tc>
          <w:tcPr>
            <w:tcW w:w="1418"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Mar>
              <w:top w:w="0" w:type="dxa"/>
              <w:left w:w="108" w:type="dxa"/>
              <w:bottom w:w="0" w:type="dxa"/>
              <w:right w:w="108" w:type="dxa"/>
            </w:tcMar>
            <w:hideMark/>
          </w:tcPr>
          <w:p w14:paraId="240A4480" w14:textId="77777777" w:rsidR="001B7D28" w:rsidRDefault="001B7D28">
            <w:pPr>
              <w:rPr>
                <w:b/>
                <w:bCs/>
                <w:noProof/>
                <w:color w:val="FFFFFF" w:themeColor="background1"/>
              </w:rPr>
            </w:pPr>
            <w:r>
              <w:rPr>
                <w:b/>
                <w:bCs/>
                <w:noProof/>
                <w:color w:val="FFFFFF" w:themeColor="background1"/>
              </w:rPr>
              <w:t>Expectation foundation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Mar>
              <w:top w:w="0" w:type="dxa"/>
              <w:left w:w="108" w:type="dxa"/>
              <w:bottom w:w="0" w:type="dxa"/>
              <w:right w:w="108" w:type="dxa"/>
            </w:tcMar>
          </w:tcPr>
          <w:p w14:paraId="38F2ABEE" w14:textId="77777777" w:rsidR="001B7D28" w:rsidRDefault="001B7D28">
            <w:pPr>
              <w:rPr>
                <w:b/>
                <w:bCs/>
                <w:noProof/>
                <w:color w:val="FFFFFF" w:themeColor="background1"/>
              </w:rPr>
            </w:pPr>
          </w:p>
        </w:tc>
      </w:tr>
      <w:tr w:rsidR="001B7D28" w14:paraId="5700BAFD" w14:textId="77777777" w:rsidTr="001B7D28">
        <w:trPr>
          <w:trHeight w:val="265"/>
        </w:trPr>
        <w:tc>
          <w:tcPr>
            <w:tcW w:w="16582" w:type="dxa"/>
            <w:gridSpan w:val="2"/>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23231221" w14:textId="77777777" w:rsidR="001B7D28" w:rsidRDefault="001B7D28">
            <w:pPr>
              <w:spacing w:after="0"/>
              <w:rPr>
                <w:rFonts w:asciiTheme="majorHAnsi" w:eastAsiaTheme="majorEastAsia" w:hAnsiTheme="majorHAnsi" w:cstheme="majorBidi"/>
                <w:color w:val="FFFFFF" w:themeColor="background1"/>
                <w:sz w:val="26"/>
                <w:szCs w:val="26"/>
              </w:rPr>
            </w:pPr>
          </w:p>
        </w:tc>
        <w:tc>
          <w:tcPr>
            <w:tcW w:w="1417"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137B44E6" w14:textId="77777777" w:rsidR="001B7D28" w:rsidRDefault="001B7D28">
            <w:pPr>
              <w:spacing w:after="0"/>
              <w:rPr>
                <w:b/>
                <w:bCs/>
                <w:noProof/>
                <w:color w:val="FFFFFF" w:themeColor="background1"/>
              </w:rPr>
            </w:pPr>
          </w:p>
        </w:tc>
        <w:tc>
          <w:tcPr>
            <w:tcW w:w="1418" w:type="dxa"/>
            <w:vMerge/>
            <w:tcBorders>
              <w:top w:val="single" w:sz="12" w:space="0" w:color="00759B" w:themeColor="accent1"/>
              <w:left w:val="single" w:sz="12" w:space="0" w:color="563C75" w:themeColor="text2"/>
              <w:bottom w:val="single" w:sz="12" w:space="0" w:color="563C75" w:themeColor="text2"/>
              <w:right w:val="single" w:sz="12" w:space="0" w:color="563C75" w:themeColor="text2"/>
            </w:tcBorders>
            <w:vAlign w:val="center"/>
            <w:hideMark/>
          </w:tcPr>
          <w:p w14:paraId="7B0ED4E9" w14:textId="77777777" w:rsidR="001B7D28" w:rsidRDefault="001B7D28">
            <w:pPr>
              <w:spacing w:after="0"/>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030AF90B" w14:textId="77777777" w:rsidR="001B7D28" w:rsidRDefault="001B7D28">
            <w:pPr>
              <w:rPr>
                <w:noProof/>
                <w:color w:val="FFFFFF" w:themeColor="background1"/>
                <w:sz w:val="20"/>
                <w:szCs w:val="20"/>
              </w:rPr>
            </w:pPr>
            <w:r>
              <w:rPr>
                <w:noProof/>
                <w:color w:val="FFFFFF" w:themeColor="background1"/>
                <w:sz w:val="20"/>
                <w:szCs w:val="20"/>
              </w:rPr>
              <w:t>Accrediation team use only:</w:t>
            </w:r>
          </w:p>
        </w:tc>
      </w:tr>
      <w:tr w:rsidR="001B7D28" w14:paraId="70EF1099"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52126B41" w14:textId="77777777" w:rsidR="001B7D28" w:rsidRDefault="001B7D28" w:rsidP="001B7D28">
            <w:pPr>
              <w:pStyle w:val="ListParagraph"/>
              <w:numPr>
                <w:ilvl w:val="0"/>
                <w:numId w:val="32"/>
              </w:numPr>
              <w:ind w:left="416" w:hanging="426"/>
              <w:rPr>
                <w:noProof/>
              </w:rPr>
            </w:pPr>
            <w:r>
              <w:rPr>
                <w:noProof/>
              </w:rPr>
              <w:t xml:space="preserve">Reflect upon, identify, and proactively address their learning needs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27A98A4F" w14:textId="77777777" w:rsidR="001B7D28" w:rsidRDefault="001B7D28">
            <w:pPr>
              <w:rPr>
                <w:b/>
                <w:bCs/>
              </w:rPr>
            </w:pPr>
            <w:r>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2E2BCF8B" w14:textId="77777777" w:rsidR="001B7D28" w:rsidRDefault="001B7D28">
            <w:pPr>
              <w:rPr>
                <w:b/>
                <w:bCs/>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61C5CEFA"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152526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7CA23198"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086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7555A02F"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961150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50182DAA"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1E5CC295" w14:textId="77777777" w:rsidR="001B7D28" w:rsidRDefault="001B7D28" w:rsidP="001B7D28">
            <w:pPr>
              <w:pStyle w:val="ListParagraph"/>
              <w:numPr>
                <w:ilvl w:val="0"/>
                <w:numId w:val="32"/>
              </w:numPr>
              <w:ind w:left="416" w:hanging="426"/>
              <w:rPr>
                <w:noProof/>
              </w:rPr>
            </w:pPr>
            <w:r>
              <w:rPr>
                <w:noProof/>
              </w:rPr>
              <w:t>Support the learning and development of others, including through mentoring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67A1917D"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3C574D90" w14:textId="77777777" w:rsidR="001B7D28" w:rsidRDefault="001B7D28">
            <w:pPr>
              <w:rPr>
                <w:b/>
                <w:bCs/>
                <w:noProof/>
              </w:rPr>
            </w:pPr>
            <w:r>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7C476F64"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865954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5B89469D"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4796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3C66D578"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797349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185B2DB7" w14:textId="77777777" w:rsidTr="001B7D28">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Mar>
              <w:top w:w="0" w:type="dxa"/>
              <w:left w:w="108" w:type="dxa"/>
              <w:bottom w:w="0" w:type="dxa"/>
              <w:right w:w="108" w:type="dxa"/>
            </w:tcMar>
            <w:hideMark/>
          </w:tcPr>
          <w:p w14:paraId="4A9CC120" w14:textId="77777777" w:rsidR="001B7D28" w:rsidRDefault="001B7D28" w:rsidP="001B7D28">
            <w:pPr>
              <w:pStyle w:val="ListParagraph"/>
              <w:numPr>
                <w:ilvl w:val="0"/>
                <w:numId w:val="32"/>
              </w:numPr>
              <w:ind w:left="416" w:hanging="426"/>
              <w:rPr>
                <w:noProof/>
              </w:rPr>
            </w:pPr>
            <w:r>
              <w:rPr>
                <w:noProof/>
              </w:rPr>
              <w:t xml:space="preserve">Take part in research activities, audit, service evaluation and quality improvement, and demonstrate how these are used to improve care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Mar>
              <w:top w:w="0" w:type="dxa"/>
              <w:left w:w="108" w:type="dxa"/>
              <w:bottom w:w="0" w:type="dxa"/>
              <w:right w:w="108" w:type="dxa"/>
            </w:tcMar>
            <w:hideMark/>
          </w:tcPr>
          <w:p w14:paraId="7AA9D7D1" w14:textId="77777777" w:rsidR="001B7D28" w:rsidRDefault="001B7D28">
            <w:pPr>
              <w:rPr>
                <w:b/>
                <w:bCs/>
                <w:noProof/>
              </w:rPr>
            </w:pPr>
            <w:r>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Mar>
              <w:top w:w="0" w:type="dxa"/>
              <w:left w:w="108" w:type="dxa"/>
              <w:bottom w:w="0" w:type="dxa"/>
              <w:right w:w="108" w:type="dxa"/>
            </w:tcMar>
            <w:hideMark/>
          </w:tcPr>
          <w:p w14:paraId="60C95C0B" w14:textId="77777777" w:rsidR="001B7D28" w:rsidRDefault="001B7D28">
            <w:pPr>
              <w:rPr>
                <w:b/>
                <w:bCs/>
                <w:noProof/>
              </w:rPr>
            </w:pPr>
            <w:r>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Mar>
              <w:top w:w="0" w:type="dxa"/>
              <w:left w:w="108" w:type="dxa"/>
              <w:bottom w:w="0" w:type="dxa"/>
              <w:right w:w="108" w:type="dxa"/>
            </w:tcMar>
            <w:hideMark/>
          </w:tcPr>
          <w:p w14:paraId="27DCFA39" w14:textId="77777777" w:rsidR="001B7D28" w:rsidRDefault="001B7D28">
            <w:pPr>
              <w:spacing w:after="0"/>
              <w:rPr>
                <w:rFonts w:ascii="Calibri" w:eastAsia="Calibri" w:hAnsi="Calibri" w:cs="Calibri"/>
                <w:b/>
                <w:bCs/>
                <w:color w:val="FFFFFF" w:themeColor="background1"/>
                <w:sz w:val="28"/>
                <w:szCs w:val="28"/>
              </w:rPr>
            </w:pPr>
            <w:r>
              <w:rPr>
                <w:rFonts w:ascii="Calibri" w:eastAsia="Calibri" w:hAnsi="Calibri" w:cs="Calibri"/>
                <w:b/>
                <w:color w:val="FFFFFF" w:themeColor="background1"/>
                <w:sz w:val="20"/>
                <w:szCs w:val="20"/>
              </w:rPr>
              <w:t>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139238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p>
          <w:p w14:paraId="63782995" w14:textId="77777777" w:rsidR="001B7D28" w:rsidRDefault="001B7D28">
            <w:pPr>
              <w:spacing w:after="0"/>
              <w:rPr>
                <w:rFonts w:ascii="Calibri" w:eastAsia="Calibri" w:hAnsi="Calibri" w:cs="Calibri"/>
                <w:b/>
                <w:bCs/>
                <w:color w:val="FFFFFF" w:themeColor="background1"/>
              </w:rPr>
            </w:pPr>
            <w:r>
              <w:rPr>
                <w:rFonts w:ascii="Calibri" w:eastAsia="Calibri" w:hAnsi="Calibri" w:cs="Calibri"/>
                <w:b/>
                <w:bCs/>
                <w:color w:val="FFFFFF" w:themeColor="background1"/>
                <w:sz w:val="20"/>
                <w:szCs w:val="20"/>
              </w:rPr>
              <w:t>Likely to be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4426307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p w14:paraId="13E020E8" w14:textId="77777777" w:rsidR="001B7D28" w:rsidRDefault="001B7D28">
            <w:pPr>
              <w:spacing w:after="0"/>
              <w:rPr>
                <w:rFonts w:ascii="Calibri" w:eastAsia="Calibri" w:hAnsi="Calibri" w:cs="Calibri"/>
                <w:b/>
                <w:color w:val="FFFFFF" w:themeColor="background1"/>
                <w:sz w:val="20"/>
                <w:szCs w:val="20"/>
              </w:rPr>
            </w:pPr>
            <w:r>
              <w:rPr>
                <w:rFonts w:ascii="Calibri" w:eastAsia="Calibri" w:hAnsi="Calibri" w:cs="Calibri"/>
                <w:b/>
                <w:bCs/>
                <w:color w:val="FFFFFF" w:themeColor="background1"/>
                <w:sz w:val="20"/>
                <w:szCs w:val="20"/>
              </w:rPr>
              <w:t>Not met</w:t>
            </w:r>
            <w:r>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47045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lang w:val="en-US"/>
                  </w:rPr>
                  <w:t>☐</w:t>
                </w:r>
              </w:sdtContent>
            </w:sdt>
            <w:r>
              <w:rPr>
                <w:rFonts w:ascii="Calibri" w:eastAsia="Calibri" w:hAnsi="Calibri" w:cs="Calibri"/>
                <w:b/>
                <w:bCs/>
                <w:color w:val="FFFFFF" w:themeColor="background1"/>
              </w:rPr>
              <w:t xml:space="preserve">  </w:t>
            </w:r>
          </w:p>
        </w:tc>
      </w:tr>
      <w:tr w:rsidR="001B7D28" w14:paraId="7039A028"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7CF57941" w14:textId="77777777" w:rsidR="001B7D28" w:rsidRDefault="001B7D28">
            <w:pPr>
              <w:rPr>
                <w:b/>
                <w:bCs/>
                <w:noProof/>
              </w:rPr>
            </w:pPr>
            <w:r>
              <w:rPr>
                <w:b/>
                <w:bCs/>
                <w:noProof/>
              </w:rPr>
              <w:t>How and where does the programme support students to achieve the learning outcomes within this domain?</w:t>
            </w:r>
          </w:p>
        </w:tc>
      </w:tr>
      <w:tr w:rsidR="001B7D28" w14:paraId="58E4D552"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6DC20DF2"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489E0103"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7099B2EB"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5371D19D"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508351C5"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58B50B85"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tcMar>
              <w:top w:w="0" w:type="dxa"/>
              <w:left w:w="108" w:type="dxa"/>
              <w:bottom w:w="0" w:type="dxa"/>
              <w:right w:w="108" w:type="dxa"/>
            </w:tcMar>
            <w:hideMark/>
          </w:tcPr>
          <w:p w14:paraId="5DD89410" w14:textId="77777777" w:rsidR="001B7D28" w:rsidRDefault="001B7D28">
            <w:pPr>
              <w:rPr>
                <w:rFonts w:ascii="Calibri" w:hAnsi="Calibri" w:cs="Calibri"/>
                <w:b/>
                <w:bCs/>
              </w:rPr>
            </w:pPr>
            <w:r>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1B7D28" w14:paraId="5DBDE3C5" w14:textId="77777777" w:rsidTr="001B7D28">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tcMar>
              <w:top w:w="0" w:type="dxa"/>
              <w:left w:w="108" w:type="dxa"/>
              <w:bottom w:w="0" w:type="dxa"/>
              <w:right w:w="108" w:type="dxa"/>
            </w:tcMar>
            <w:hideMark/>
          </w:tcPr>
          <w:p w14:paraId="3487C1C3"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b/>
              </w:rPr>
              <w:t>Provider’s commentary</w:t>
            </w:r>
          </w:p>
          <w:p w14:paraId="57212483" w14:textId="77777777" w:rsidR="001B7D28" w:rsidRDefault="001B7D28">
            <w:pPr>
              <w:widowControl w:val="0"/>
              <w:tabs>
                <w:tab w:val="left" w:pos="0"/>
                <w:tab w:val="left" w:pos="3330"/>
              </w:tabs>
              <w:suppressAutoHyphens/>
              <w:autoSpaceDE w:val="0"/>
              <w:autoSpaceDN w:val="0"/>
              <w:adjustRightInd w:val="0"/>
              <w:textAlignment w:val="center"/>
              <w:rPr>
                <w:rFonts w:ascii="Calibri" w:hAnsi="Calibri" w:cs="Calibri"/>
              </w:rPr>
            </w:pPr>
            <w:r>
              <w:rPr>
                <w:rFonts w:ascii="Calibri" w:hAnsi="Calibri" w:cs="Calibri"/>
              </w:rPr>
              <w:t>Please type your commentary here:</w:t>
            </w:r>
          </w:p>
          <w:p w14:paraId="2D82AB27"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08ECD0C9" w14:textId="77777777" w:rsidR="001B7D28" w:rsidRDefault="001B7D28">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 xml:space="preserve">X </w:t>
            </w:r>
          </w:p>
          <w:p w14:paraId="00126BCA" w14:textId="77777777" w:rsidR="001B7D28" w:rsidRDefault="001B7D28">
            <w:pPr>
              <w:widowControl w:val="0"/>
              <w:tabs>
                <w:tab w:val="left" w:pos="0"/>
                <w:tab w:val="left" w:pos="3330"/>
              </w:tabs>
              <w:suppressAutoHyphens/>
              <w:autoSpaceDE w:val="0"/>
              <w:autoSpaceDN w:val="0"/>
              <w:adjustRightInd w:val="0"/>
              <w:spacing w:before="120"/>
              <w:textAlignment w:val="center"/>
              <w:rPr>
                <w:rFonts w:ascii="Calibri" w:hAnsi="Calibri" w:cs="Calibri"/>
                <w:b/>
              </w:rPr>
            </w:pPr>
            <w:r>
              <w:rPr>
                <w:rFonts w:ascii="Calibri" w:hAnsi="Calibri" w:cs="Calibri"/>
              </w:rPr>
              <w:t>(expand as necessary)</w:t>
            </w:r>
          </w:p>
        </w:tc>
      </w:tr>
      <w:tr w:rsidR="001B7D28" w14:paraId="17A01928" w14:textId="77777777" w:rsidTr="001B7D28">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Mar>
              <w:top w:w="0" w:type="dxa"/>
              <w:left w:w="108" w:type="dxa"/>
              <w:bottom w:w="0" w:type="dxa"/>
              <w:right w:w="108" w:type="dxa"/>
            </w:tcMar>
            <w:hideMark/>
          </w:tcPr>
          <w:p w14:paraId="58D7F008"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F2046DC" w14:textId="77777777" w:rsidR="001B7D28" w:rsidRDefault="001B7D28">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44B4B9A" w14:textId="77777777" w:rsidR="001B7D28" w:rsidRDefault="001B7D28">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Cs/>
                <w:color w:val="00759B"/>
              </w:rPr>
              <w:t>X</w:t>
            </w:r>
          </w:p>
        </w:tc>
      </w:tr>
    </w:tbl>
    <w:p w14:paraId="09EF6D49" w14:textId="77777777" w:rsidR="00100311" w:rsidRDefault="00100311"/>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425"/>
        <w:gridCol w:w="1276"/>
        <w:gridCol w:w="2414"/>
      </w:tblGrid>
      <w:tr w:rsidR="000A14C3" w:rsidRPr="005F3CFE" w14:paraId="177B3DB6" w14:textId="77777777" w:rsidTr="00ED556F">
        <w:trPr>
          <w:gridAfter w:val="2"/>
          <w:wAfter w:w="3690" w:type="dxa"/>
          <w:trHeight w:val="227"/>
        </w:trPr>
        <w:tc>
          <w:tcPr>
            <w:tcW w:w="6516" w:type="dxa"/>
            <w:gridSpan w:val="6"/>
            <w:shd w:val="clear" w:color="auto" w:fill="00759B"/>
          </w:tcPr>
          <w:p w14:paraId="4C02837D" w14:textId="17EFC54D" w:rsidR="000A14C3" w:rsidRPr="005F3CFE" w:rsidRDefault="000A14C3" w:rsidP="00ED556F">
            <w:pPr>
              <w:pStyle w:val="Heading1"/>
              <w:spacing w:after="120"/>
              <w:rPr>
                <w:rFonts w:eastAsia="Times New Roman"/>
                <w:sz w:val="28"/>
                <w:szCs w:val="28"/>
                <w:lang w:bidi="en-US"/>
              </w:rPr>
            </w:pPr>
            <w:bookmarkStart w:id="21" w:name="_Toc92960547"/>
            <w:bookmarkStart w:id="22" w:name="_Hlk82592283"/>
            <w:r w:rsidRPr="00413CD0">
              <w:rPr>
                <w:rFonts w:eastAsia="Times New Roman"/>
                <w:color w:val="FFFFFF" w:themeColor="background1"/>
                <w:sz w:val="40"/>
                <w:szCs w:val="22"/>
                <w:lang w:bidi="en-US"/>
              </w:rPr>
              <w:t>Part 2</w:t>
            </w:r>
            <w:r w:rsidR="00413CD0" w:rsidRPr="00413CD0">
              <w:rPr>
                <w:rFonts w:eastAsia="Times New Roman"/>
                <w:color w:val="FFFFFF" w:themeColor="background1"/>
                <w:sz w:val="40"/>
                <w:szCs w:val="22"/>
                <w:lang w:bidi="en-US"/>
              </w:rPr>
              <w:t xml:space="preserve">: </w:t>
            </w:r>
            <w:r w:rsidRPr="00413CD0">
              <w:rPr>
                <w:rFonts w:eastAsia="Times New Roman"/>
                <w:color w:val="FFFFFF" w:themeColor="background1"/>
                <w:sz w:val="40"/>
                <w:szCs w:val="22"/>
                <w:lang w:bidi="en-US"/>
              </w:rPr>
              <w:t>Standards for the initial education and training of pharmacists</w:t>
            </w:r>
            <w:bookmarkEnd w:id="21"/>
          </w:p>
        </w:tc>
      </w:tr>
      <w:tr w:rsidR="000A14C3" w:rsidRPr="007342B3" w14:paraId="7F5C183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DFB26C9" w14:textId="77777777" w:rsidR="000A14C3" w:rsidRPr="00261CAC" w:rsidRDefault="000A14C3" w:rsidP="00413CD0">
            <w:pPr>
              <w:pStyle w:val="Heading2"/>
            </w:pPr>
            <w:bookmarkStart w:id="23" w:name="_Toc92960548"/>
            <w:r w:rsidRPr="00413CD0">
              <w:rPr>
                <w:color w:val="FFFFFF" w:themeColor="background1"/>
              </w:rPr>
              <w:t>Standard 1: Selection and admission</w:t>
            </w:r>
            <w:bookmarkEnd w:id="23"/>
          </w:p>
          <w:p w14:paraId="570BEBA6" w14:textId="77777777" w:rsidR="000A14C3" w:rsidRPr="007342B3" w:rsidRDefault="000A14C3" w:rsidP="000A14C3">
            <w:pPr>
              <w:rPr>
                <w:b/>
                <w:bCs/>
                <w:color w:val="FFFFFF" w:themeColor="background1"/>
              </w:rPr>
            </w:pPr>
            <w:r w:rsidRPr="00261CAC">
              <w:rPr>
                <w:b/>
                <w:bCs/>
                <w:color w:val="FFFFFF" w:themeColor="background1"/>
              </w:rPr>
              <w:t xml:space="preserve">Students must be selected for and admitted onto MPharm degrees on the basis that they are being prepared to practise as a pharmacist </w:t>
            </w:r>
          </w:p>
        </w:tc>
      </w:tr>
      <w:tr w:rsidR="00057A20" w:rsidRPr="003A473C" w:rsidDel="00007E00" w14:paraId="77099FB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nil"/>
              <w:right w:val="nil"/>
            </w:tcBorders>
            <w:shd w:val="clear" w:color="auto" w:fill="00759B" w:themeFill="accent1"/>
            <w:vAlign w:val="center"/>
          </w:tcPr>
          <w:p w14:paraId="621DEC77" w14:textId="4AC451B6"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Is standard 1 met/likely to be met? </w:t>
            </w:r>
          </w:p>
        </w:tc>
        <w:tc>
          <w:tcPr>
            <w:tcW w:w="992" w:type="dxa"/>
            <w:gridSpan w:val="2"/>
            <w:tcBorders>
              <w:top w:val="nil"/>
              <w:left w:val="nil"/>
              <w:bottom w:val="nil"/>
              <w:right w:val="nil"/>
            </w:tcBorders>
            <w:shd w:val="clear" w:color="auto" w:fill="00759B" w:themeFill="accent1"/>
            <w:vAlign w:val="center"/>
          </w:tcPr>
          <w:p w14:paraId="31058EE3" w14:textId="5EF38BB2"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Yes</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82273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995" w:type="dxa"/>
            <w:gridSpan w:val="2"/>
            <w:tcBorders>
              <w:top w:val="nil"/>
              <w:left w:val="nil"/>
              <w:bottom w:val="nil"/>
              <w:right w:val="single" w:sz="12" w:space="0" w:color="00759B" w:themeColor="accent1"/>
            </w:tcBorders>
            <w:shd w:val="clear" w:color="auto" w:fill="00759B" w:themeFill="accent1"/>
            <w:vAlign w:val="center"/>
          </w:tcPr>
          <w:p w14:paraId="40B9E15B" w14:textId="0C3AA048" w:rsidR="00057A20" w:rsidRPr="00100311"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4056019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4115" w:type="dxa"/>
            <w:gridSpan w:val="3"/>
            <w:tcBorders>
              <w:top w:val="nil"/>
              <w:left w:val="nil"/>
              <w:bottom w:val="nil"/>
              <w:right w:val="single" w:sz="12" w:space="0" w:color="00759B" w:themeColor="accent1"/>
            </w:tcBorders>
            <w:shd w:val="clear" w:color="auto" w:fill="00759B" w:themeFill="accent1"/>
            <w:vAlign w:val="center"/>
          </w:tcPr>
          <w:p w14:paraId="3D476565" w14:textId="6D7B53B7"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ED556F">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342B3" w14:paraId="2402A5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1AF3AB" w14:textId="77777777" w:rsidR="000A14C3" w:rsidRPr="00ED556F" w:rsidRDefault="000A14C3" w:rsidP="001B7D28">
            <w:pPr>
              <w:numPr>
                <w:ilvl w:val="0"/>
                <w:numId w:val="14"/>
              </w:numPr>
              <w:ind w:left="567" w:hanging="567"/>
              <w:rPr>
                <w:b/>
                <w:bCs/>
              </w:rPr>
            </w:pPr>
            <w:r w:rsidRPr="00ED556F">
              <w:rPr>
                <w:b/>
                <w:bCs/>
              </w:rPr>
              <w:t xml:space="preserve">The principles of equality, diversity and fairness must be built into selection processes. Selection processes must give all applicants an opportunity to demonstrate their ability and suitability, </w:t>
            </w:r>
            <w:proofErr w:type="gramStart"/>
            <w:r w:rsidRPr="00ED556F">
              <w:rPr>
                <w:b/>
                <w:bCs/>
              </w:rPr>
              <w:t>taking into account</w:t>
            </w:r>
            <w:proofErr w:type="gramEnd"/>
            <w:r w:rsidRPr="00ED556F">
              <w:rPr>
                <w:b/>
                <w:bCs/>
              </w:rPr>
              <w:t xml:space="preserve"> their background (such as protected characteristics and socio-economic and education background).</w:t>
            </w:r>
          </w:p>
        </w:tc>
      </w:tr>
      <w:tr w:rsidR="000A14C3" w:rsidRPr="007342B3" w14:paraId="46D9876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8F9EA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C5744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09E5C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C139B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3D1132D" w14:textId="77777777" w:rsidR="000A14C3" w:rsidRPr="007342B3" w:rsidRDefault="000A14C3" w:rsidP="000A14C3">
            <w:pPr>
              <w:rPr>
                <w:b/>
                <w:bCs/>
                <w:noProof/>
              </w:rPr>
            </w:pPr>
            <w:r w:rsidRPr="004F533E">
              <w:rPr>
                <w:rFonts w:ascii="Calibri" w:hAnsi="Calibri" w:cs="Calibri"/>
              </w:rPr>
              <w:t>(expand as necessary)</w:t>
            </w:r>
          </w:p>
        </w:tc>
      </w:tr>
      <w:tr w:rsidR="00057A20" w:rsidRPr="003A473C" w14:paraId="6701500C"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52BE2" w14:textId="0929F7F0" w:rsidR="00057A20" w:rsidRPr="003A473C" w:rsidRDefault="00E5642A"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057A20" w:rsidRPr="003A473C">
              <w:rPr>
                <w:rFonts w:ascii="Calibri" w:eastAsia="Times New Roman" w:hAnsi="Calibri" w:cs="Calibri"/>
                <w:b/>
                <w:color w:val="FFFFFF" w:themeColor="background1"/>
              </w:rPr>
              <w:t>ccreditation team use only:</w:t>
            </w:r>
          </w:p>
        </w:tc>
      </w:tr>
      <w:tr w:rsidR="00E5642A" w:rsidRPr="00E5642A" w:rsidDel="00007E00" w14:paraId="798062B9"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868B91F" w14:textId="3A86318C" w:rsidR="00057A20" w:rsidRPr="00E5642A" w:rsidDel="00007E00" w:rsidRDefault="00946C8A"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C</w:t>
            </w:r>
            <w:r w:rsidR="00057A20" w:rsidRPr="00ED556F">
              <w:rPr>
                <w:rFonts w:ascii="Calibri" w:eastAsia="Calibri" w:hAnsi="Calibri" w:cs="Calibri"/>
                <w:b/>
                <w:color w:val="FFFFFF" w:themeColor="background1"/>
              </w:rPr>
              <w:t xml:space="preserve">riterion 1.1 is:   </w:t>
            </w:r>
          </w:p>
        </w:tc>
        <w:tc>
          <w:tcPr>
            <w:tcW w:w="1134" w:type="dxa"/>
            <w:gridSpan w:val="2"/>
            <w:tcBorders>
              <w:top w:val="nil"/>
              <w:left w:val="nil"/>
              <w:bottom w:val="nil"/>
              <w:right w:val="nil"/>
            </w:tcBorders>
            <w:shd w:val="clear" w:color="auto" w:fill="00759B" w:themeFill="accent1"/>
            <w:vAlign w:val="center"/>
          </w:tcPr>
          <w:p w14:paraId="2492AF2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15702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A5663A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205101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F39DA81"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95910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AC8CE81" w14:textId="77777777" w:rsidTr="00057A20">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D584792"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BE8953"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A71475"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50C3B9F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4204ED" w14:textId="77777777" w:rsidR="000A14C3" w:rsidRPr="00ED556F" w:rsidRDefault="000A14C3" w:rsidP="001B7D28">
            <w:pPr>
              <w:numPr>
                <w:ilvl w:val="0"/>
                <w:numId w:val="14"/>
              </w:numPr>
              <w:ind w:left="567" w:hanging="567"/>
              <w:rPr>
                <w:b/>
                <w:bCs/>
              </w:rPr>
            </w:pPr>
            <w:r w:rsidRPr="00ED556F">
              <w:rPr>
                <w:b/>
                <w:bCs/>
              </w:rPr>
              <w:lastRenderedPageBreak/>
              <w:t xml:space="preserve">Higher-education institutions must actively aim to identify and reduce discrimination in selection and admission processes. As a minimum, every year, the MPharm degree admissions profile must be analysed by protected characteristics, as defined in the Equality Act 2010. Documented action must be taken if that analysis shows that the admissions process may be disadvantaging students. </w:t>
            </w:r>
          </w:p>
        </w:tc>
      </w:tr>
      <w:tr w:rsidR="000A14C3" w:rsidRPr="007342B3" w14:paraId="2491A7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FC1DF3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B9E354C" w14:textId="1FC19866"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F947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9FED6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645807"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3502765"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B80B296" w14:textId="2B763DA0"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394515" w:rsidRPr="003A473C">
              <w:rPr>
                <w:rFonts w:ascii="Calibri" w:eastAsia="Times New Roman" w:hAnsi="Calibri" w:cs="Calibri"/>
                <w:b/>
                <w:color w:val="FFFFFF" w:themeColor="background1"/>
              </w:rPr>
              <w:t>ccreditation team use only:</w:t>
            </w:r>
          </w:p>
        </w:tc>
      </w:tr>
      <w:tr w:rsidR="00394515" w:rsidRPr="003A473C" w:rsidDel="00007E00" w14:paraId="717EE5C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5040DC2" w14:textId="492791D0"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1.2 is:   </w:t>
            </w:r>
          </w:p>
        </w:tc>
        <w:tc>
          <w:tcPr>
            <w:tcW w:w="1134" w:type="dxa"/>
            <w:gridSpan w:val="2"/>
            <w:tcBorders>
              <w:top w:val="nil"/>
              <w:left w:val="nil"/>
              <w:bottom w:val="nil"/>
              <w:right w:val="nil"/>
            </w:tcBorders>
            <w:shd w:val="clear" w:color="auto" w:fill="00759B" w:themeFill="accent1"/>
            <w:vAlign w:val="center"/>
          </w:tcPr>
          <w:p w14:paraId="07908A92"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380650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20B44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364073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4B07B81"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5626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D026A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C42861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1F2F8C"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6FC5C2"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04224EF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5691C0" w14:textId="77777777" w:rsidR="000A14C3" w:rsidRPr="00ED556F" w:rsidRDefault="000A14C3" w:rsidP="001B7D28">
            <w:pPr>
              <w:numPr>
                <w:ilvl w:val="0"/>
                <w:numId w:val="14"/>
              </w:numPr>
              <w:ind w:left="567" w:hanging="567"/>
              <w:rPr>
                <w:b/>
                <w:bCs/>
              </w:rPr>
            </w:pPr>
            <w:r w:rsidRPr="00ED556F">
              <w:rPr>
                <w:b/>
                <w:bCs/>
              </w:rPr>
              <w:t>Accurate admissions information must be provided to potential applicants.</w:t>
            </w:r>
          </w:p>
        </w:tc>
      </w:tr>
      <w:tr w:rsidR="000A14C3" w:rsidRPr="007342B3" w14:paraId="727237E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33D0A6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7C466E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ADB90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A082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C61DCE"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07D53FC"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2D21506" w14:textId="2C8C2C8D"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394515" w:rsidRPr="003A473C" w:rsidDel="00007E00" w14:paraId="3592F8EA"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0BA4FE" w14:textId="14458141"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1.3 is:   </w:t>
            </w:r>
          </w:p>
        </w:tc>
        <w:tc>
          <w:tcPr>
            <w:tcW w:w="1134" w:type="dxa"/>
            <w:gridSpan w:val="2"/>
            <w:tcBorders>
              <w:top w:val="nil"/>
              <w:left w:val="nil"/>
              <w:bottom w:val="nil"/>
              <w:right w:val="nil"/>
            </w:tcBorders>
            <w:shd w:val="clear" w:color="auto" w:fill="00759B" w:themeFill="accent1"/>
            <w:vAlign w:val="center"/>
          </w:tcPr>
          <w:p w14:paraId="60C571D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12217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AC856B"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9082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287249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510361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5983B165"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63F6DB"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0022533"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59CFBF"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3BC83B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3C41FF" w14:textId="77777777" w:rsidR="000A14C3" w:rsidRPr="00ED556F" w:rsidRDefault="000A14C3" w:rsidP="001B7D28">
            <w:pPr>
              <w:numPr>
                <w:ilvl w:val="0"/>
                <w:numId w:val="14"/>
              </w:numPr>
              <w:ind w:left="567" w:hanging="567"/>
              <w:rPr>
                <w:b/>
                <w:bCs/>
              </w:rPr>
            </w:pPr>
            <w:r w:rsidRPr="00ED556F">
              <w:rPr>
                <w:b/>
                <w:bCs/>
              </w:rPr>
              <w:t xml:space="preserve">Selection processes must give applicants the guidance they need to make an informed application. </w:t>
            </w:r>
          </w:p>
        </w:tc>
      </w:tr>
      <w:tr w:rsidR="000A14C3" w:rsidRPr="007342B3" w14:paraId="590FDA7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16DB07"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DD6EA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EA4DE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BBD6A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226E443"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20F7D08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82CCCE" w14:textId="14BA10E3"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E5642A" w:rsidRPr="00E5642A" w:rsidDel="00007E00" w14:paraId="4F98854F"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08A9A2" w14:textId="0E11BD1F"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1.4 is:   </w:t>
            </w:r>
          </w:p>
        </w:tc>
        <w:tc>
          <w:tcPr>
            <w:tcW w:w="1134" w:type="dxa"/>
            <w:gridSpan w:val="2"/>
            <w:tcBorders>
              <w:top w:val="nil"/>
              <w:left w:val="nil"/>
              <w:bottom w:val="nil"/>
              <w:right w:val="nil"/>
            </w:tcBorders>
            <w:shd w:val="clear" w:color="auto" w:fill="00759B" w:themeFill="accent1"/>
            <w:vAlign w:val="center"/>
          </w:tcPr>
          <w:p w14:paraId="0D6081B9"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569400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5D4FD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59291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CC45A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1640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6AA4747"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3F14B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40ABBB2"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ACF883C"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71FFCC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5B3D86D" w14:textId="77777777" w:rsidR="000A14C3" w:rsidRPr="00ED556F" w:rsidRDefault="000A14C3" w:rsidP="001B7D28">
            <w:pPr>
              <w:numPr>
                <w:ilvl w:val="0"/>
                <w:numId w:val="14"/>
              </w:numPr>
              <w:spacing w:after="0"/>
              <w:ind w:left="567" w:hanging="567"/>
              <w:rPr>
                <w:b/>
                <w:bCs/>
              </w:rPr>
            </w:pPr>
            <w:r w:rsidRPr="00ED556F">
              <w:rPr>
                <w:b/>
                <w:bCs/>
              </w:rPr>
              <w:t xml:space="preserve">Selection criteria must be explicit. They must include: </w:t>
            </w:r>
          </w:p>
          <w:p w14:paraId="3F82AA0F" w14:textId="77777777" w:rsidR="000A14C3" w:rsidRPr="00ED556F" w:rsidRDefault="000A14C3" w:rsidP="001B7D28">
            <w:pPr>
              <w:numPr>
                <w:ilvl w:val="0"/>
                <w:numId w:val="15"/>
              </w:numPr>
              <w:spacing w:after="0"/>
              <w:rPr>
                <w:b/>
                <w:bCs/>
              </w:rPr>
            </w:pPr>
            <w:r w:rsidRPr="00ED556F">
              <w:rPr>
                <w:b/>
                <w:bCs/>
              </w:rPr>
              <w:t xml:space="preserve">meeting academic entry requirements </w:t>
            </w:r>
          </w:p>
          <w:p w14:paraId="12C2E0D6" w14:textId="77777777" w:rsidR="000A14C3" w:rsidRPr="00ED556F" w:rsidRDefault="000A14C3" w:rsidP="001B7D28">
            <w:pPr>
              <w:numPr>
                <w:ilvl w:val="0"/>
                <w:numId w:val="15"/>
              </w:numPr>
              <w:spacing w:after="0"/>
              <w:rPr>
                <w:b/>
                <w:bCs/>
              </w:rPr>
            </w:pPr>
            <w:r w:rsidRPr="00ED556F">
              <w:rPr>
                <w:b/>
                <w:bCs/>
              </w:rPr>
              <w:t>meeting professional entry requirements – that is, suitability to practise as a pharmacist</w:t>
            </w:r>
            <w:r w:rsidRPr="00ED556F">
              <w:rPr>
                <w:b/>
                <w:bCs/>
                <w:vertAlign w:val="superscript"/>
              </w:rPr>
              <w:footnoteReference w:id="2"/>
            </w:r>
          </w:p>
          <w:p w14:paraId="59382DFC" w14:textId="77777777" w:rsidR="000A14C3" w:rsidRPr="00ED556F" w:rsidRDefault="000A14C3" w:rsidP="001B7D28">
            <w:pPr>
              <w:numPr>
                <w:ilvl w:val="0"/>
                <w:numId w:val="15"/>
              </w:numPr>
              <w:spacing w:after="0"/>
              <w:rPr>
                <w:b/>
                <w:bCs/>
              </w:rPr>
            </w:pPr>
            <w:r w:rsidRPr="00ED556F">
              <w:rPr>
                <w:b/>
                <w:bCs/>
              </w:rPr>
              <w:t xml:space="preserve">meeting numeracy requirements </w:t>
            </w:r>
          </w:p>
          <w:p w14:paraId="5B48F7E2" w14:textId="77777777" w:rsidR="000A14C3" w:rsidRPr="00ED556F" w:rsidRDefault="000A14C3" w:rsidP="001B7D28">
            <w:pPr>
              <w:numPr>
                <w:ilvl w:val="0"/>
                <w:numId w:val="15"/>
              </w:numPr>
              <w:spacing w:after="0"/>
              <w:rPr>
                <w:b/>
                <w:bCs/>
              </w:rPr>
            </w:pPr>
            <w:r w:rsidRPr="00ED556F">
              <w:rPr>
                <w:b/>
                <w:bCs/>
              </w:rPr>
              <w:t xml:space="preserve">meeting English language requirements appropriate to </w:t>
            </w:r>
            <w:proofErr w:type="gramStart"/>
            <w:r w:rsidRPr="00ED556F">
              <w:rPr>
                <w:b/>
                <w:bCs/>
              </w:rPr>
              <w:t>Master’s</w:t>
            </w:r>
            <w:proofErr w:type="gramEnd"/>
            <w:r w:rsidRPr="00ED556F">
              <w:rPr>
                <w:b/>
                <w:bCs/>
              </w:rPr>
              <w:t xml:space="preserve"> level study and for professional registration. Guidelines issued by English language testing bodies should be followed to make sure that admissions language requirements are appropriate </w:t>
            </w:r>
          </w:p>
          <w:p w14:paraId="195A830E" w14:textId="77777777" w:rsidR="000A14C3" w:rsidRPr="00ED556F" w:rsidRDefault="000A14C3" w:rsidP="001B7D28">
            <w:pPr>
              <w:numPr>
                <w:ilvl w:val="0"/>
                <w:numId w:val="15"/>
              </w:numPr>
              <w:spacing w:after="0"/>
              <w:rPr>
                <w:b/>
                <w:bCs/>
              </w:rPr>
            </w:pPr>
            <w:r w:rsidRPr="00ED556F">
              <w:rPr>
                <w:b/>
                <w:bCs/>
              </w:rPr>
              <w:t xml:space="preserve">taking account of good-character checks </w:t>
            </w:r>
          </w:p>
          <w:p w14:paraId="40625D6B" w14:textId="77777777" w:rsidR="000A14C3" w:rsidRPr="00ED556F" w:rsidRDefault="000A14C3" w:rsidP="001B7D28">
            <w:pPr>
              <w:numPr>
                <w:ilvl w:val="0"/>
                <w:numId w:val="15"/>
              </w:numPr>
              <w:spacing w:after="0"/>
              <w:rPr>
                <w:b/>
                <w:bCs/>
              </w:rPr>
            </w:pPr>
            <w:r w:rsidRPr="00ED556F">
              <w:rPr>
                <w:b/>
                <w:bCs/>
              </w:rPr>
              <w:t xml:space="preserve">taking account of health checks </w:t>
            </w:r>
          </w:p>
          <w:p w14:paraId="18A6A797" w14:textId="77777777" w:rsidR="000A14C3" w:rsidRPr="00ED556F" w:rsidRDefault="000A14C3" w:rsidP="001B7D28">
            <w:pPr>
              <w:numPr>
                <w:ilvl w:val="0"/>
                <w:numId w:val="15"/>
              </w:numPr>
              <w:spacing w:after="0"/>
              <w:rPr>
                <w:b/>
                <w:bCs/>
              </w:rPr>
            </w:pPr>
            <w:r w:rsidRPr="00ED556F">
              <w:rPr>
                <w:b/>
                <w:bCs/>
              </w:rPr>
              <w:t xml:space="preserve">recognising prior learning, where that is appropriate </w:t>
            </w:r>
          </w:p>
          <w:p w14:paraId="4C781DE7" w14:textId="77777777" w:rsidR="000A14C3" w:rsidRPr="00ED556F" w:rsidRDefault="000A14C3" w:rsidP="001B7D28">
            <w:pPr>
              <w:numPr>
                <w:ilvl w:val="0"/>
                <w:numId w:val="15"/>
              </w:numPr>
              <w:spacing w:after="0"/>
              <w:rPr>
                <w:b/>
                <w:bCs/>
              </w:rPr>
            </w:pPr>
            <w:r w:rsidRPr="00ED556F">
              <w:rPr>
                <w:b/>
                <w:bCs/>
              </w:rPr>
              <w:t>taking an applicant’s socio-economic and education background into account</w:t>
            </w:r>
          </w:p>
        </w:tc>
      </w:tr>
      <w:tr w:rsidR="000A14C3" w:rsidRPr="007342B3" w14:paraId="1014B2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18B0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AE72F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37E34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BB6648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3B46B7"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D130FF9"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60D25" w14:textId="1F80E85A"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77CD4B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F587A87" w14:textId="5990F898"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1.5 is:   </w:t>
            </w:r>
          </w:p>
        </w:tc>
        <w:tc>
          <w:tcPr>
            <w:tcW w:w="1134" w:type="dxa"/>
            <w:gridSpan w:val="2"/>
            <w:tcBorders>
              <w:top w:val="nil"/>
              <w:left w:val="nil"/>
              <w:bottom w:val="nil"/>
              <w:right w:val="nil"/>
            </w:tcBorders>
            <w:shd w:val="clear" w:color="auto" w:fill="00759B" w:themeFill="accent1"/>
            <w:vAlign w:val="center"/>
          </w:tcPr>
          <w:p w14:paraId="00617A4B"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814957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D3C6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00697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240FB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9367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354562F"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AF8A759"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038F6BF"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45EC910"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201F6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418115" w14:textId="77777777" w:rsidR="000A14C3" w:rsidRPr="00ED556F" w:rsidRDefault="000A14C3" w:rsidP="001B7D28">
            <w:pPr>
              <w:numPr>
                <w:ilvl w:val="0"/>
                <w:numId w:val="14"/>
              </w:numPr>
              <w:ind w:left="567" w:hanging="567"/>
              <w:rPr>
                <w:b/>
                <w:bCs/>
              </w:rPr>
            </w:pPr>
            <w:r w:rsidRPr="00ED556F">
              <w:rPr>
                <w:b/>
                <w:bCs/>
              </w:rPr>
              <w:t xml:space="preserve">Admissions criteria should take account of the admissions requirements for periods of learning in practice. These will include those overseen by statutory education bodies such as NHS Education Scotland (NES), Health Education England (HEE), Health Education and Improvement Wales (HEIW) and the Northern Ireland Centre for Pharmacy Learning and Development (NICPLD). </w:t>
            </w:r>
          </w:p>
        </w:tc>
      </w:tr>
      <w:tr w:rsidR="000A14C3" w:rsidRPr="007342B3" w14:paraId="06C505E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5EEC2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4959A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65A0B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D3307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0BF66673"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7FEA762F"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77F764E" w14:textId="1C92FFC4"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F74A26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0C4DFD5" w14:textId="299DD11D"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1.6 is:   </w:t>
            </w:r>
          </w:p>
        </w:tc>
        <w:tc>
          <w:tcPr>
            <w:tcW w:w="1134" w:type="dxa"/>
            <w:gridSpan w:val="2"/>
            <w:tcBorders>
              <w:top w:val="nil"/>
              <w:left w:val="nil"/>
              <w:bottom w:val="nil"/>
              <w:right w:val="nil"/>
            </w:tcBorders>
            <w:shd w:val="clear" w:color="auto" w:fill="00759B" w:themeFill="accent1"/>
            <w:vAlign w:val="center"/>
          </w:tcPr>
          <w:p w14:paraId="7BCBEAD5"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0159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FCE244"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21195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813253"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0517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55394E0"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885F90C"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6AFEF5E"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67EB0DA"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73CAB0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EBE55C" w14:textId="77777777" w:rsidR="000A14C3" w:rsidRPr="00ED556F" w:rsidRDefault="000A14C3" w:rsidP="001B7D28">
            <w:pPr>
              <w:numPr>
                <w:ilvl w:val="0"/>
                <w:numId w:val="14"/>
              </w:numPr>
              <w:ind w:left="567" w:hanging="567"/>
              <w:rPr>
                <w:b/>
                <w:bCs/>
              </w:rPr>
            </w:pPr>
            <w:r w:rsidRPr="00ED556F">
              <w:rPr>
                <w:b/>
                <w:bCs/>
              </w:rPr>
              <w:t>All admissions and selection processes must include an interactive component, to assess applicants’ values and professional suitability. Having a robust application process including interactivity applies also to Clearing and Adjustment applications.</w:t>
            </w:r>
          </w:p>
        </w:tc>
      </w:tr>
      <w:tr w:rsidR="000A14C3" w:rsidRPr="007342B3" w14:paraId="10E698A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1F11D0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F4703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8298F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24C0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9AEF99"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1897863"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A0311F" w14:textId="05AA8897"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725CA58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DC26D5" w14:textId="266BFC9C"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1.7 is:   </w:t>
            </w:r>
          </w:p>
        </w:tc>
        <w:tc>
          <w:tcPr>
            <w:tcW w:w="1134" w:type="dxa"/>
            <w:gridSpan w:val="2"/>
            <w:tcBorders>
              <w:top w:val="nil"/>
              <w:left w:val="nil"/>
              <w:bottom w:val="nil"/>
              <w:right w:val="nil"/>
            </w:tcBorders>
            <w:shd w:val="clear" w:color="auto" w:fill="00759B" w:themeFill="accent1"/>
            <w:vAlign w:val="center"/>
          </w:tcPr>
          <w:p w14:paraId="55CAB4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257422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C7803B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6386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33B9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81168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0BD42C4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746B7E2"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093E7B"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AEC54F"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65AACD7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3462949" w14:textId="77777777" w:rsidR="000A14C3" w:rsidRPr="00ED556F" w:rsidRDefault="000A14C3" w:rsidP="00ED556F">
            <w:pPr>
              <w:ind w:left="599" w:hanging="599"/>
              <w:rPr>
                <w:b/>
                <w:bCs/>
                <w:noProof/>
              </w:rPr>
            </w:pPr>
            <w:r w:rsidRPr="00ED556F">
              <w:rPr>
                <w:b/>
                <w:bCs/>
                <w:noProof/>
              </w:rPr>
              <w:t>1.8</w:t>
            </w:r>
            <w:r w:rsidRPr="00ED556F">
              <w:rPr>
                <w:b/>
                <w:bCs/>
                <w:noProof/>
              </w:rPr>
              <w:tab/>
              <w:t>When higher-education institutions accept applicants who do not meet the academic entry requirements, they must set out clearly the criteria used for making the decision. This includes complying with the institution’s policy on contextual offers.</w:t>
            </w:r>
          </w:p>
        </w:tc>
      </w:tr>
      <w:tr w:rsidR="000A14C3" w:rsidRPr="007342B3" w14:paraId="3007534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99BA2E" w14:textId="77777777" w:rsidR="000A14C3" w:rsidRPr="004F533E" w:rsidRDefault="000A14C3" w:rsidP="00ED556F">
            <w:pPr>
              <w:widowControl w:val="0"/>
              <w:tabs>
                <w:tab w:val="left" w:pos="599"/>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885006" w14:textId="77777777" w:rsidR="000A14C3" w:rsidRPr="004F533E" w:rsidRDefault="000A14C3" w:rsidP="00ED556F">
            <w:pPr>
              <w:widowControl w:val="0"/>
              <w:tabs>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72E3CD"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99FF6B"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E8A4CF" w14:textId="77777777" w:rsidR="000A14C3" w:rsidRPr="007342B3" w:rsidRDefault="000A14C3" w:rsidP="00ED556F">
            <w:pPr>
              <w:tabs>
                <w:tab w:val="left" w:pos="599"/>
              </w:tabs>
              <w:rPr>
                <w:b/>
                <w:bCs/>
                <w:noProof/>
              </w:rPr>
            </w:pPr>
            <w:r w:rsidRPr="004F533E">
              <w:rPr>
                <w:rFonts w:ascii="Calibri" w:hAnsi="Calibri" w:cs="Calibri"/>
              </w:rPr>
              <w:t>(expand as necessary)</w:t>
            </w:r>
          </w:p>
        </w:tc>
      </w:tr>
      <w:tr w:rsidR="00A53FDB" w:rsidRPr="003A473C" w14:paraId="5CDEEEAB"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A990EEF" w14:textId="55E9B9C6"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36827A5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F76FC19" w14:textId="17C6B38F"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1.8 is:   </w:t>
            </w:r>
          </w:p>
        </w:tc>
        <w:tc>
          <w:tcPr>
            <w:tcW w:w="1134" w:type="dxa"/>
            <w:gridSpan w:val="2"/>
            <w:tcBorders>
              <w:top w:val="nil"/>
              <w:left w:val="nil"/>
              <w:bottom w:val="nil"/>
              <w:right w:val="nil"/>
            </w:tcBorders>
            <w:shd w:val="clear" w:color="auto" w:fill="00759B" w:themeFill="accent1"/>
            <w:vAlign w:val="center"/>
          </w:tcPr>
          <w:p w14:paraId="42B22D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97220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78954F"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01479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04DC41"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209825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039EA96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9B1A97"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757F04A"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3AA3422"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53FDB" w14:paraId="525CB5B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DC029A" w14:textId="77777777" w:rsidR="000A14C3" w:rsidRPr="00ED556F" w:rsidRDefault="000A14C3" w:rsidP="00ED556F">
            <w:pPr>
              <w:ind w:left="599" w:hanging="599"/>
              <w:rPr>
                <w:b/>
                <w:bCs/>
                <w:noProof/>
              </w:rPr>
            </w:pPr>
            <w:r w:rsidRPr="00ED556F">
              <w:rPr>
                <w:b/>
                <w:bCs/>
                <w:noProof/>
              </w:rPr>
              <w:lastRenderedPageBreak/>
              <w:t>1.9</w:t>
            </w:r>
            <w:r w:rsidRPr="00ED556F">
              <w:rPr>
                <w:b/>
                <w:bCs/>
                <w:noProof/>
              </w:rPr>
              <w:tab/>
              <w:t>Unconditional offers, where students have been accepted onto a programme without having met the entry requirements, are not permitted .</w:t>
            </w:r>
          </w:p>
        </w:tc>
      </w:tr>
      <w:tr w:rsidR="000A14C3" w:rsidRPr="007342B3" w14:paraId="43B637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9B443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9E5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12ED03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BF7A36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4582C2" w14:textId="77777777" w:rsidR="000A14C3" w:rsidRPr="007342B3" w:rsidRDefault="000A14C3" w:rsidP="000A14C3">
            <w:pPr>
              <w:rPr>
                <w:b/>
                <w:bCs/>
                <w:noProof/>
              </w:rPr>
            </w:pPr>
            <w:r w:rsidRPr="004F533E">
              <w:rPr>
                <w:rFonts w:ascii="Calibri" w:hAnsi="Calibri" w:cs="Calibri"/>
              </w:rPr>
              <w:t>(expand as necessary)</w:t>
            </w:r>
          </w:p>
        </w:tc>
      </w:tr>
      <w:tr w:rsidR="00A53FDB" w:rsidRPr="003A473C" w14:paraId="4DFFDDF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622A5C" w14:textId="7665A39C"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676B0E1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BF4398E" w14:textId="3CE321FB"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1.9 is:   </w:t>
            </w:r>
          </w:p>
        </w:tc>
        <w:tc>
          <w:tcPr>
            <w:tcW w:w="1134" w:type="dxa"/>
            <w:gridSpan w:val="2"/>
            <w:tcBorders>
              <w:top w:val="nil"/>
              <w:left w:val="nil"/>
              <w:bottom w:val="nil"/>
              <w:right w:val="nil"/>
            </w:tcBorders>
            <w:shd w:val="clear" w:color="auto" w:fill="00759B" w:themeFill="accent1"/>
            <w:vAlign w:val="center"/>
          </w:tcPr>
          <w:p w14:paraId="1350E6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253821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97AA3E"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29413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26AD49B"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2751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55099446"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090CCF"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33D235D"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B82692B"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02FC51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5637987" w14:textId="4F89ACDD" w:rsidR="000A14C3" w:rsidRPr="0048377E" w:rsidRDefault="000A14C3" w:rsidP="0048377E">
            <w:pPr>
              <w:pStyle w:val="Heading2"/>
              <w:rPr>
                <w:color w:val="FFFFFF" w:themeColor="background1"/>
              </w:rPr>
            </w:pPr>
            <w:bookmarkStart w:id="24" w:name="_Toc92960549"/>
            <w:r w:rsidRPr="0048377E">
              <w:rPr>
                <w:color w:val="FFFFFF" w:themeColor="background1"/>
              </w:rPr>
              <w:t xml:space="preserve">Standard 2: Equality, </w:t>
            </w:r>
            <w:proofErr w:type="gramStart"/>
            <w:r w:rsidRPr="0048377E">
              <w:rPr>
                <w:color w:val="FFFFFF" w:themeColor="background1"/>
              </w:rPr>
              <w:t>diversity</w:t>
            </w:r>
            <w:proofErr w:type="gramEnd"/>
            <w:r w:rsidRPr="0048377E">
              <w:rPr>
                <w:color w:val="FFFFFF" w:themeColor="background1"/>
              </w:rPr>
              <w:t xml:space="preserve"> and fairness</w:t>
            </w:r>
            <w:bookmarkEnd w:id="24"/>
          </w:p>
          <w:p w14:paraId="643A0070" w14:textId="77777777" w:rsidR="000A14C3" w:rsidRPr="007342B3" w:rsidRDefault="000A14C3" w:rsidP="000A14C3">
            <w:pPr>
              <w:rPr>
                <w:b/>
                <w:bCs/>
                <w:color w:val="FFFFFF" w:themeColor="background1"/>
              </w:rPr>
            </w:pPr>
            <w:r w:rsidRPr="009C6612">
              <w:rPr>
                <w:b/>
                <w:bCs/>
                <w:color w:val="FFFFFF" w:themeColor="background1"/>
              </w:rPr>
              <w:t xml:space="preserve">MPharm degrees must be based on, and promote, the principles of equality, </w:t>
            </w:r>
            <w:proofErr w:type="gramStart"/>
            <w:r w:rsidRPr="009C6612">
              <w:rPr>
                <w:b/>
                <w:bCs/>
                <w:color w:val="FFFFFF" w:themeColor="background1"/>
              </w:rPr>
              <w:t>diversity</w:t>
            </w:r>
            <w:proofErr w:type="gramEnd"/>
            <w:r w:rsidRPr="009C6612">
              <w:rPr>
                <w:b/>
                <w:bCs/>
                <w:color w:val="FFFFFF" w:themeColor="background1"/>
              </w:rPr>
              <w:t xml:space="preserve"> and fairness; meet all relevant legal requirements; and be delivered in such a way that the diverse needs of all students are met</w:t>
            </w:r>
          </w:p>
        </w:tc>
      </w:tr>
      <w:tr w:rsidR="008408B5" w:rsidRPr="003A473C" w:rsidDel="00007E00" w14:paraId="02D28D4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946FE2A" w14:textId="504213B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2</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3914E54"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98583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876A169"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820551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A1B427C"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8408B5" w14:paraId="40BE837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A80B18" w14:textId="77777777" w:rsidR="000A14C3" w:rsidRPr="00ED556F" w:rsidRDefault="000A14C3" w:rsidP="001B7D28">
            <w:pPr>
              <w:pStyle w:val="ListParagraph"/>
              <w:numPr>
                <w:ilvl w:val="1"/>
                <w:numId w:val="16"/>
              </w:numPr>
              <w:ind w:left="567" w:hanging="567"/>
              <w:contextualSpacing w:val="0"/>
              <w:rPr>
                <w:b/>
                <w:bCs/>
              </w:rPr>
            </w:pPr>
            <w:r w:rsidRPr="00ED556F">
              <w:rPr>
                <w:b/>
                <w:bCs/>
              </w:rPr>
              <w:t xml:space="preserve">Systems and policies must promote the principles and legal requirements of equality, </w:t>
            </w:r>
            <w:proofErr w:type="gramStart"/>
            <w:r w:rsidRPr="00ED556F">
              <w:rPr>
                <w:b/>
                <w:bCs/>
              </w:rPr>
              <w:t>diversity</w:t>
            </w:r>
            <w:proofErr w:type="gramEnd"/>
            <w:r w:rsidRPr="00ED556F">
              <w:rPr>
                <w:b/>
                <w:bCs/>
              </w:rPr>
              <w:t xml:space="preserve"> and fairness. </w:t>
            </w:r>
          </w:p>
        </w:tc>
      </w:tr>
      <w:tr w:rsidR="000A14C3" w:rsidRPr="007342B3" w14:paraId="165AB4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7C64DB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DA025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B90BD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089EA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BA9108"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3CAA0BF5"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DB71D0" w14:textId="734F4D69"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42FA286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999636" w14:textId="3A656674"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2.1 is:   </w:t>
            </w:r>
          </w:p>
        </w:tc>
        <w:tc>
          <w:tcPr>
            <w:tcW w:w="1134" w:type="dxa"/>
            <w:gridSpan w:val="2"/>
            <w:tcBorders>
              <w:top w:val="nil"/>
              <w:left w:val="nil"/>
              <w:bottom w:val="nil"/>
              <w:right w:val="nil"/>
            </w:tcBorders>
            <w:shd w:val="clear" w:color="auto" w:fill="00759B" w:themeFill="accent1"/>
            <w:vAlign w:val="center"/>
          </w:tcPr>
          <w:p w14:paraId="3924782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35238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7221E2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79226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C6C0F"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22503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15DC48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ECF707"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CD7879"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9384E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279E91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C11064" w14:textId="77777777" w:rsidR="000A14C3" w:rsidRPr="00ED556F" w:rsidRDefault="000A14C3" w:rsidP="001B7D28">
            <w:pPr>
              <w:pStyle w:val="ListParagraph"/>
              <w:numPr>
                <w:ilvl w:val="1"/>
                <w:numId w:val="16"/>
              </w:numPr>
              <w:ind w:left="567" w:hanging="567"/>
              <w:contextualSpacing w:val="0"/>
              <w:rPr>
                <w:b/>
                <w:bCs/>
              </w:rPr>
            </w:pPr>
            <w:r w:rsidRPr="00ED556F">
              <w:rPr>
                <w:b/>
                <w:bCs/>
              </w:rPr>
              <w:t>Systems and policies must be in place to allow everyone involved</w:t>
            </w:r>
            <w:r w:rsidRPr="00ED556F" w:rsidDel="00F726A8">
              <w:rPr>
                <w:b/>
                <w:bCs/>
              </w:rPr>
              <w:t xml:space="preserve"> </w:t>
            </w:r>
            <w:r w:rsidRPr="00ED556F">
              <w:rPr>
                <w:b/>
                <w:bCs/>
              </w:rPr>
              <w:t xml:space="preserve">to understand the diversity of the student body and the implications that has for delivery. </w:t>
            </w:r>
          </w:p>
        </w:tc>
      </w:tr>
      <w:tr w:rsidR="000A14C3" w:rsidRPr="007342B3" w14:paraId="488A5F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948D49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10D7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3278B1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F991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70055C"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09575747"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8F73B9" w14:textId="516A8A13"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2BB7693"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6BBF4D0" w14:textId="46CBF48D"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2.2 is:   </w:t>
            </w:r>
          </w:p>
        </w:tc>
        <w:tc>
          <w:tcPr>
            <w:tcW w:w="1134" w:type="dxa"/>
            <w:gridSpan w:val="2"/>
            <w:tcBorders>
              <w:top w:val="nil"/>
              <w:left w:val="nil"/>
              <w:bottom w:val="nil"/>
              <w:right w:val="nil"/>
            </w:tcBorders>
            <w:shd w:val="clear" w:color="auto" w:fill="00759B" w:themeFill="accent1"/>
            <w:vAlign w:val="center"/>
          </w:tcPr>
          <w:p w14:paraId="23ABCE5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87937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17C65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1637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2085D7"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61253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FFBDEF1"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C0CDB4"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BA0463D"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EB34F7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5474691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7E61A2" w14:textId="77777777" w:rsidR="000A14C3" w:rsidRPr="00ED556F" w:rsidRDefault="000A14C3" w:rsidP="001B7D28">
            <w:pPr>
              <w:pStyle w:val="ListParagraph"/>
              <w:numPr>
                <w:ilvl w:val="1"/>
                <w:numId w:val="16"/>
              </w:numPr>
              <w:ind w:left="567" w:hanging="567"/>
              <w:contextualSpacing w:val="0"/>
              <w:rPr>
                <w:b/>
                <w:bCs/>
              </w:rPr>
            </w:pPr>
            <w:r w:rsidRPr="00ED556F">
              <w:rPr>
                <w:b/>
                <w:bCs/>
              </w:rPr>
              <w:t>Systems and policies must be in place to allow everyone involved to understand the diversity of the students’ circumstances and experiences and the implications that has for student support and development.</w:t>
            </w:r>
          </w:p>
        </w:tc>
      </w:tr>
      <w:tr w:rsidR="000A14C3" w:rsidRPr="007342B3" w14:paraId="4497162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F00D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3BA93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D7F6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B26E34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DEA67A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116D14F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FBF830" w14:textId="6C36A5BB"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2243D69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CA252B" w14:textId="00E66725"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2.3 is:   </w:t>
            </w:r>
          </w:p>
        </w:tc>
        <w:tc>
          <w:tcPr>
            <w:tcW w:w="1134" w:type="dxa"/>
            <w:gridSpan w:val="2"/>
            <w:tcBorders>
              <w:top w:val="nil"/>
              <w:left w:val="nil"/>
              <w:bottom w:val="nil"/>
              <w:right w:val="nil"/>
            </w:tcBorders>
            <w:shd w:val="clear" w:color="auto" w:fill="00759B" w:themeFill="accent1"/>
            <w:vAlign w:val="center"/>
          </w:tcPr>
          <w:p w14:paraId="0600A98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614665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2738D4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8752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FEFD3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914810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4AA278B"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8CCCAE"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794F6EA"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D168B1"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00B143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12EA3F" w14:textId="77777777" w:rsidR="000A14C3" w:rsidRPr="00ED556F" w:rsidRDefault="000A14C3" w:rsidP="001B7D28">
            <w:pPr>
              <w:pStyle w:val="ListParagraph"/>
              <w:numPr>
                <w:ilvl w:val="1"/>
                <w:numId w:val="16"/>
              </w:numPr>
              <w:ind w:left="567" w:hanging="567"/>
              <w:contextualSpacing w:val="0"/>
              <w:rPr>
                <w:b/>
                <w:bCs/>
              </w:rPr>
            </w:pPr>
            <w:r w:rsidRPr="00ED556F">
              <w:rPr>
                <w:b/>
                <w:bCs/>
              </w:rPr>
              <w:t xml:space="preserve">Every year, there must be a review of student performance broken down by protected characteristics, as defined in relevant equality and human rights legislation. Documented action must be taken to address differences when they are found. </w:t>
            </w:r>
          </w:p>
        </w:tc>
      </w:tr>
      <w:tr w:rsidR="000A14C3" w:rsidRPr="007342B3" w14:paraId="14E9E99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B667DE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5F9C1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6EAC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DF7E1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9F55C7D"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D6EB53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A634584" w14:textId="512A8CFC" w:rsidR="009D59D4" w:rsidRPr="003A473C" w:rsidRDefault="00E5642A" w:rsidP="007270C1">
            <w:pPr>
              <w:spacing w:after="0"/>
              <w:rPr>
                <w:rFonts w:ascii="Calibri" w:eastAsia="Calibri" w:hAnsi="Calibri" w:cs="Calibri"/>
                <w:b/>
                <w:color w:val="FFFFFF" w:themeColor="background1"/>
              </w:rPr>
            </w:pPr>
            <w:bookmarkStart w:id="25" w:name="_Hlk82439140"/>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55E6EC05"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B29E348" w14:textId="1FEF0E8B"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2.4 is:   </w:t>
            </w:r>
          </w:p>
        </w:tc>
        <w:tc>
          <w:tcPr>
            <w:tcW w:w="1134" w:type="dxa"/>
            <w:gridSpan w:val="2"/>
            <w:tcBorders>
              <w:top w:val="nil"/>
              <w:left w:val="nil"/>
              <w:bottom w:val="nil"/>
              <w:right w:val="nil"/>
            </w:tcBorders>
            <w:shd w:val="clear" w:color="auto" w:fill="00759B" w:themeFill="accent1"/>
            <w:vAlign w:val="center"/>
          </w:tcPr>
          <w:p w14:paraId="610109C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051471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FE0580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127414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C9EDF3C"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7368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1367906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952E3"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ED847C"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340087D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5"/>
      <w:tr w:rsidR="000A14C3" w:rsidRPr="004F533E" w14:paraId="0FC9350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4B72D7AF" w14:textId="478E8284" w:rsidR="000A14C3" w:rsidRPr="004F533E" w:rsidRDefault="000A14C3" w:rsidP="000A14C3">
            <w:pPr>
              <w:rPr>
                <w:rFonts w:ascii="Calibri" w:hAnsi="Calibri" w:cs="Calibri"/>
                <w:b/>
                <w:bCs/>
              </w:rPr>
            </w:pPr>
          </w:p>
        </w:tc>
      </w:tr>
      <w:tr w:rsidR="000A14C3" w:rsidRPr="009D59D4" w14:paraId="2EC9E1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F78584" w14:textId="5F2D3C92" w:rsidR="00095B1C" w:rsidRPr="00095B1C" w:rsidRDefault="000A14C3" w:rsidP="00095B1C">
            <w:pPr>
              <w:pStyle w:val="ListParagraph"/>
              <w:numPr>
                <w:ilvl w:val="1"/>
                <w:numId w:val="16"/>
              </w:numPr>
              <w:ind w:left="567" w:hanging="567"/>
              <w:contextualSpacing w:val="0"/>
              <w:rPr>
                <w:rFonts w:asciiTheme="majorHAnsi" w:hAnsiTheme="majorHAnsi" w:cstheme="majorHAnsi"/>
                <w:b/>
                <w:bCs/>
              </w:rPr>
            </w:pPr>
            <w:r w:rsidRPr="00095B1C">
              <w:rPr>
                <w:rFonts w:asciiTheme="majorHAnsi" w:hAnsiTheme="majorHAnsi" w:cstheme="majorHAnsi"/>
                <w:b/>
                <w:bCs/>
              </w:rPr>
              <w:t xml:space="preserve">Everyone involved must be trained to apply the principles and legal </w:t>
            </w:r>
            <w:r w:rsidR="00095B1C" w:rsidRPr="00095B1C">
              <w:rPr>
                <w:rFonts w:asciiTheme="majorHAnsi" w:hAnsiTheme="majorHAnsi" w:cstheme="majorHAnsi"/>
                <w:b/>
                <w:bCs/>
              </w:rPr>
              <w:t xml:space="preserve">requirements of equality, </w:t>
            </w:r>
            <w:proofErr w:type="gramStart"/>
            <w:r w:rsidR="00095B1C" w:rsidRPr="00095B1C">
              <w:rPr>
                <w:rFonts w:asciiTheme="majorHAnsi" w:hAnsiTheme="majorHAnsi" w:cstheme="majorHAnsi"/>
                <w:b/>
                <w:bCs/>
              </w:rPr>
              <w:t>diversity</w:t>
            </w:r>
            <w:proofErr w:type="gramEnd"/>
            <w:r w:rsidR="00095B1C" w:rsidRPr="00095B1C">
              <w:rPr>
                <w:rFonts w:asciiTheme="majorHAnsi" w:hAnsiTheme="majorHAnsi" w:cstheme="majorHAnsi"/>
                <w:b/>
                <w:bCs/>
              </w:rPr>
              <w:t xml:space="preserve"> and fairness in their role.</w:t>
            </w:r>
            <w:r w:rsidR="00095B1C" w:rsidRPr="00095B1C">
              <w:rPr>
                <w:rFonts w:ascii="Open Sans" w:hAnsi="Open Sans" w:cs="Open Sans"/>
                <w:b/>
                <w:bCs/>
              </w:rPr>
              <w:t xml:space="preserve"> </w:t>
            </w:r>
          </w:p>
        </w:tc>
      </w:tr>
      <w:tr w:rsidR="000A14C3" w:rsidRPr="007342B3" w14:paraId="1BCC8B0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E4C4E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62BE3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27235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83634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85384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591E23A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75FAAA" w14:textId="743D246A"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CC2BE1E"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4A739D" w14:textId="6809496E"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2.5 is:   </w:t>
            </w:r>
          </w:p>
        </w:tc>
        <w:tc>
          <w:tcPr>
            <w:tcW w:w="1134" w:type="dxa"/>
            <w:gridSpan w:val="2"/>
            <w:tcBorders>
              <w:top w:val="nil"/>
              <w:left w:val="nil"/>
              <w:bottom w:val="nil"/>
              <w:right w:val="nil"/>
            </w:tcBorders>
            <w:shd w:val="clear" w:color="auto" w:fill="00759B" w:themeFill="accent1"/>
            <w:vAlign w:val="center"/>
          </w:tcPr>
          <w:p w14:paraId="674245D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42807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7E5A6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138491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5E8FE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868014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3A0D06B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604901D"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199543"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FCDF5"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11ADEA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D5EB3B" w14:textId="77777777" w:rsidR="000A14C3" w:rsidRPr="00ED556F" w:rsidRDefault="000A14C3" w:rsidP="001B7D28">
            <w:pPr>
              <w:pStyle w:val="ListParagraph"/>
              <w:numPr>
                <w:ilvl w:val="1"/>
                <w:numId w:val="16"/>
              </w:numPr>
              <w:ind w:left="567" w:hanging="567"/>
              <w:rPr>
                <w:b/>
                <w:bCs/>
              </w:rPr>
            </w:pPr>
            <w:r w:rsidRPr="00ED556F">
              <w:rPr>
                <w:b/>
                <w:bCs/>
              </w:rPr>
              <w:t xml:space="preserve">MPharm degree design and delivery must ensure student pharmacists understand their legal responsibilities under equality and human rights legislation and proactively seek to learn about and understand communities and cultures. </w:t>
            </w:r>
          </w:p>
        </w:tc>
      </w:tr>
      <w:tr w:rsidR="000A14C3" w:rsidRPr="007342B3" w14:paraId="4D50F0C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1C0A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94B44"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D9662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33139C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281EC3F"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548C2D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EF52D0" w14:textId="313503F4" w:rsidR="009D59D4" w:rsidRPr="003A473C" w:rsidRDefault="00B1782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64401CF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6689D0" w14:textId="0E84C570" w:rsidR="009D59D4" w:rsidRPr="00B17826"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2.6 is:   </w:t>
            </w:r>
          </w:p>
        </w:tc>
        <w:tc>
          <w:tcPr>
            <w:tcW w:w="1134" w:type="dxa"/>
            <w:gridSpan w:val="2"/>
            <w:tcBorders>
              <w:top w:val="nil"/>
              <w:left w:val="nil"/>
              <w:bottom w:val="nil"/>
              <w:right w:val="nil"/>
            </w:tcBorders>
            <w:shd w:val="clear" w:color="auto" w:fill="00759B" w:themeFill="accent1"/>
            <w:vAlign w:val="center"/>
          </w:tcPr>
          <w:p w14:paraId="3FC1F21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35118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E721EA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06942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B0D9CAB"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74756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654524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AA42F90"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C15624"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911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FE65C0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58F8296F" w14:textId="537BE45C" w:rsidR="000A14C3" w:rsidRPr="0048377E" w:rsidRDefault="000A14C3" w:rsidP="0048377E">
            <w:pPr>
              <w:pStyle w:val="Heading2"/>
              <w:rPr>
                <w:color w:val="FFFFFF" w:themeColor="background1"/>
              </w:rPr>
            </w:pPr>
            <w:bookmarkStart w:id="26" w:name="_Toc92960550"/>
            <w:r w:rsidRPr="0048377E">
              <w:rPr>
                <w:color w:val="FFFFFF" w:themeColor="background1"/>
              </w:rPr>
              <w:t>Standard 3: Resources and capacity</w:t>
            </w:r>
            <w:bookmarkEnd w:id="26"/>
            <w:r w:rsidRPr="0048377E">
              <w:rPr>
                <w:color w:val="FFFFFF" w:themeColor="background1"/>
              </w:rPr>
              <w:t xml:space="preserve"> </w:t>
            </w:r>
          </w:p>
          <w:p w14:paraId="435A7279" w14:textId="77777777" w:rsidR="000A14C3" w:rsidRPr="007342B3" w:rsidRDefault="000A14C3" w:rsidP="000A14C3">
            <w:pPr>
              <w:rPr>
                <w:b/>
                <w:bCs/>
                <w:color w:val="FFFFFF" w:themeColor="background1"/>
              </w:rPr>
            </w:pPr>
            <w:r w:rsidRPr="00FD3EB5">
              <w:rPr>
                <w:b/>
                <w:bCs/>
                <w:color w:val="FFFFFF" w:themeColor="background1"/>
              </w:rPr>
              <w:t xml:space="preserve">Resources and capacity must be sufficient to deliver the learning outcomes in these standards </w:t>
            </w:r>
          </w:p>
        </w:tc>
      </w:tr>
      <w:tr w:rsidR="009D59D4" w:rsidRPr="003A473C" w:rsidDel="00007E00" w14:paraId="62C5F848"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9BB7B82" w14:textId="0279A200"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3</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187DF276"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4669108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32CB503E"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87943599"/>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3CD216EB"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9D59D4" w14:paraId="4A54504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666598" w14:textId="77777777" w:rsidR="000A14C3" w:rsidRPr="00ED556F" w:rsidRDefault="000A14C3" w:rsidP="001B7D28">
            <w:pPr>
              <w:pStyle w:val="ListParagraph"/>
              <w:numPr>
                <w:ilvl w:val="1"/>
                <w:numId w:val="17"/>
              </w:numPr>
              <w:ind w:left="567" w:hanging="567"/>
              <w:contextualSpacing w:val="0"/>
              <w:rPr>
                <w:b/>
                <w:bCs/>
              </w:rPr>
            </w:pPr>
            <w:r w:rsidRPr="00ED556F">
              <w:rPr>
                <w:b/>
                <w:bCs/>
              </w:rPr>
              <w:lastRenderedPageBreak/>
              <w:t xml:space="preserve">There must be robust and transparent systems for securing an appropriate level of resource to deliver a sustainable MPharm degree that meets the requirement of these standards. </w:t>
            </w:r>
          </w:p>
        </w:tc>
      </w:tr>
      <w:tr w:rsidR="000A14C3" w:rsidRPr="007342B3" w14:paraId="7C94380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F97DE3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3520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2409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E7B25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4AAB23"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53B7EDCD"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7C7C8" w14:textId="7DDE68EC"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1BE3058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22AC520" w14:textId="64B4FE1B"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3.1 is:   </w:t>
            </w:r>
          </w:p>
        </w:tc>
        <w:tc>
          <w:tcPr>
            <w:tcW w:w="1134" w:type="dxa"/>
            <w:gridSpan w:val="2"/>
            <w:tcBorders>
              <w:top w:val="nil"/>
              <w:left w:val="nil"/>
              <w:bottom w:val="nil"/>
              <w:right w:val="nil"/>
            </w:tcBorders>
            <w:shd w:val="clear" w:color="auto" w:fill="00759B" w:themeFill="accent1"/>
            <w:vAlign w:val="center"/>
          </w:tcPr>
          <w:p w14:paraId="4DD9312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2644310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03F2E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8599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2D7CD1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347356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DBA48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F57EBA6"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AF836D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5BBEFA"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169B9B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AB2560B" w14:textId="77777777" w:rsidR="000A14C3" w:rsidRPr="00ED556F" w:rsidRDefault="000A14C3" w:rsidP="001B7D28">
            <w:pPr>
              <w:pStyle w:val="ListParagraph"/>
              <w:numPr>
                <w:ilvl w:val="1"/>
                <w:numId w:val="17"/>
              </w:numPr>
              <w:ind w:left="567" w:hanging="567"/>
              <w:contextualSpacing w:val="0"/>
              <w:rPr>
                <w:b/>
                <w:bCs/>
              </w:rPr>
            </w:pPr>
            <w:r w:rsidRPr="00ED556F">
              <w:rPr>
                <w:b/>
                <w:bCs/>
              </w:rPr>
              <w:t xml:space="preserve">The staff complement must be appropriate for the delivery of all parts of the MPharm degree. </w:t>
            </w:r>
          </w:p>
        </w:tc>
      </w:tr>
      <w:tr w:rsidR="000A14C3" w:rsidRPr="007342B3" w14:paraId="5B696B8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AACE7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3A8FD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ADF41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7AECC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9DA6BE1"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13F08680"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4750B8" w14:textId="105C7B1E"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28D623C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64A64F" w14:textId="14F68B13"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3.2 is:   </w:t>
            </w:r>
          </w:p>
        </w:tc>
        <w:tc>
          <w:tcPr>
            <w:tcW w:w="1134" w:type="dxa"/>
            <w:gridSpan w:val="2"/>
            <w:tcBorders>
              <w:top w:val="nil"/>
              <w:left w:val="nil"/>
              <w:bottom w:val="nil"/>
              <w:right w:val="nil"/>
            </w:tcBorders>
            <w:shd w:val="clear" w:color="auto" w:fill="00759B" w:themeFill="accent1"/>
            <w:vAlign w:val="center"/>
          </w:tcPr>
          <w:p w14:paraId="694CD4F3"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1692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3926D9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28937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382B7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3380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3D1C08D"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26B992"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AA9E5AF"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DD6DF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CC7D2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FEC06A5" w14:textId="77777777" w:rsidR="000A14C3" w:rsidRPr="00ED556F" w:rsidRDefault="000A14C3" w:rsidP="001B7D28">
            <w:pPr>
              <w:pStyle w:val="ListParagraph"/>
              <w:numPr>
                <w:ilvl w:val="1"/>
                <w:numId w:val="17"/>
              </w:numPr>
              <w:ind w:left="567" w:hanging="567"/>
              <w:contextualSpacing w:val="0"/>
              <w:rPr>
                <w:b/>
                <w:bCs/>
              </w:rPr>
            </w:pPr>
            <w:r w:rsidRPr="00ED556F">
              <w:rPr>
                <w:b/>
                <w:bCs/>
              </w:rPr>
              <w:t>MPharm degrees must be delivered in premises that are fit for purpose.</w:t>
            </w:r>
          </w:p>
        </w:tc>
      </w:tr>
      <w:tr w:rsidR="000A14C3" w:rsidRPr="007342B3" w14:paraId="64ADC4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EB8A2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20B61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F57C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AB6CA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3740342"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B14C6E4"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9213F7" w14:textId="48AA8F5A"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4DB9279"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71F02B4" w14:textId="505F31E2"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3.3 is:   </w:t>
            </w:r>
          </w:p>
        </w:tc>
        <w:tc>
          <w:tcPr>
            <w:tcW w:w="1134" w:type="dxa"/>
            <w:gridSpan w:val="2"/>
            <w:tcBorders>
              <w:top w:val="nil"/>
              <w:left w:val="nil"/>
              <w:bottom w:val="nil"/>
              <w:right w:val="nil"/>
            </w:tcBorders>
            <w:shd w:val="clear" w:color="auto" w:fill="00759B" w:themeFill="accent1"/>
            <w:vAlign w:val="center"/>
          </w:tcPr>
          <w:p w14:paraId="1BB7803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9266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9BDB8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941117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6006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08841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06C6FA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68EF6A9"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5998EE8"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3F0C282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7F6D0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0DEC5AA7" w14:textId="29100A61" w:rsidR="000A14C3" w:rsidRPr="0048377E" w:rsidRDefault="000A14C3" w:rsidP="0048377E">
            <w:pPr>
              <w:pStyle w:val="Heading2"/>
              <w:rPr>
                <w:color w:val="FFFFFF" w:themeColor="background1"/>
              </w:rPr>
            </w:pPr>
            <w:bookmarkStart w:id="27" w:name="_Toc92960551"/>
            <w:r w:rsidRPr="0048377E">
              <w:rPr>
                <w:color w:val="FFFFFF" w:themeColor="background1"/>
              </w:rPr>
              <w:lastRenderedPageBreak/>
              <w:t xml:space="preserve">Standard 4: Managing, </w:t>
            </w:r>
            <w:proofErr w:type="gramStart"/>
            <w:r w:rsidRPr="0048377E">
              <w:rPr>
                <w:color w:val="FFFFFF" w:themeColor="background1"/>
              </w:rPr>
              <w:t>developing</w:t>
            </w:r>
            <w:proofErr w:type="gramEnd"/>
            <w:r w:rsidRPr="0048377E">
              <w:rPr>
                <w:color w:val="FFFFFF" w:themeColor="background1"/>
              </w:rPr>
              <w:t xml:space="preserve"> and evaluating MPharm degrees</w:t>
            </w:r>
            <w:bookmarkEnd w:id="27"/>
            <w:r w:rsidRPr="0048377E">
              <w:rPr>
                <w:color w:val="FFFFFF" w:themeColor="background1"/>
              </w:rPr>
              <w:t xml:space="preserve"> </w:t>
            </w:r>
          </w:p>
          <w:p w14:paraId="3F5E83E5" w14:textId="77777777" w:rsidR="000A14C3" w:rsidRPr="007342B3" w:rsidRDefault="000A14C3" w:rsidP="000A14C3">
            <w:pPr>
              <w:rPr>
                <w:b/>
                <w:bCs/>
                <w:color w:val="FFFFFF" w:themeColor="background1"/>
              </w:rPr>
            </w:pPr>
            <w:r w:rsidRPr="00FD3EB5">
              <w:rPr>
                <w:b/>
                <w:bCs/>
                <w:color w:val="FFFFFF" w:themeColor="background1"/>
              </w:rPr>
              <w:t xml:space="preserve">The quality of the MPharm degree must be managed, </w:t>
            </w:r>
            <w:proofErr w:type="gramStart"/>
            <w:r w:rsidRPr="00FD3EB5">
              <w:rPr>
                <w:b/>
                <w:bCs/>
                <w:color w:val="FFFFFF" w:themeColor="background1"/>
              </w:rPr>
              <w:t>developed</w:t>
            </w:r>
            <w:proofErr w:type="gramEnd"/>
            <w:r w:rsidRPr="00FD3EB5">
              <w:rPr>
                <w:b/>
                <w:bCs/>
                <w:color w:val="FFFFFF" w:themeColor="background1"/>
              </w:rPr>
              <w:t xml:space="preserve"> and evaluated in a systematic way </w:t>
            </w:r>
          </w:p>
        </w:tc>
      </w:tr>
      <w:tr w:rsidR="007270C1" w:rsidRPr="003A473C" w:rsidDel="00007E00" w14:paraId="5B26C266"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477C7CF" w14:textId="1DC95A56"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4</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238F3F2"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90298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5DF330AD"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3743344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59F4BAB"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4B8090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9AE644" w14:textId="77777777" w:rsidR="000A14C3" w:rsidRPr="00ED556F" w:rsidRDefault="000A14C3" w:rsidP="001B7D28">
            <w:pPr>
              <w:pStyle w:val="ListParagraph"/>
              <w:numPr>
                <w:ilvl w:val="1"/>
                <w:numId w:val="18"/>
              </w:numPr>
              <w:ind w:left="567" w:hanging="567"/>
              <w:contextualSpacing w:val="0"/>
              <w:rPr>
                <w:b/>
                <w:bCs/>
              </w:rPr>
            </w:pPr>
            <w:r w:rsidRPr="00ED556F">
              <w:rPr>
                <w:b/>
                <w:bCs/>
              </w:rPr>
              <w:t xml:space="preserve">There must be systems and policies in place to manage the delivery of the MPharm degree, including the periods of experiential and inter-professional learning. </w:t>
            </w:r>
          </w:p>
        </w:tc>
      </w:tr>
      <w:tr w:rsidR="000A14C3" w:rsidRPr="007342B3" w14:paraId="717F213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E382BE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F818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D498D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1F7983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974D5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D29283B"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7A557E2" w14:textId="47F4F337"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7270C1" w:rsidRPr="003A473C">
              <w:rPr>
                <w:rFonts w:ascii="Calibri" w:eastAsia="Times New Roman" w:hAnsi="Calibri" w:cs="Calibri"/>
                <w:b/>
                <w:color w:val="FFFFFF" w:themeColor="background1"/>
              </w:rPr>
              <w:t>ccreditation team use only:</w:t>
            </w:r>
          </w:p>
        </w:tc>
      </w:tr>
      <w:tr w:rsidR="00177386" w:rsidRPr="00177386" w:rsidDel="00007E00" w14:paraId="22A3C17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F942F0" w14:textId="1B236AD0"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4.1 is:   </w:t>
            </w:r>
          </w:p>
        </w:tc>
        <w:tc>
          <w:tcPr>
            <w:tcW w:w="1134" w:type="dxa"/>
            <w:gridSpan w:val="2"/>
            <w:tcBorders>
              <w:top w:val="nil"/>
              <w:left w:val="nil"/>
              <w:bottom w:val="nil"/>
              <w:right w:val="nil"/>
            </w:tcBorders>
            <w:shd w:val="clear" w:color="auto" w:fill="00759B" w:themeFill="accent1"/>
            <w:vAlign w:val="center"/>
          </w:tcPr>
          <w:p w14:paraId="1B89D36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704200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808EB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58568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F07421"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976334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B46653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F4119BD"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F85540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F49D61"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749588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F63D2C" w14:textId="77777777" w:rsidR="000A14C3" w:rsidRPr="00ED556F" w:rsidRDefault="000A14C3" w:rsidP="001B7D28">
            <w:pPr>
              <w:pStyle w:val="ListParagraph"/>
              <w:numPr>
                <w:ilvl w:val="1"/>
                <w:numId w:val="18"/>
              </w:numPr>
              <w:ind w:left="567" w:hanging="567"/>
              <w:contextualSpacing w:val="0"/>
              <w:rPr>
                <w:b/>
                <w:bCs/>
              </w:rPr>
            </w:pPr>
            <w:r w:rsidRPr="00ED556F">
              <w:rPr>
                <w:b/>
                <w:bCs/>
              </w:rPr>
              <w:t xml:space="preserve">There must be agreements in place between everyone involved that specify the management, </w:t>
            </w:r>
            <w:proofErr w:type="gramStart"/>
            <w:r w:rsidRPr="00ED556F">
              <w:rPr>
                <w:b/>
                <w:bCs/>
              </w:rPr>
              <w:t>responsibilities</w:t>
            </w:r>
            <w:proofErr w:type="gramEnd"/>
            <w:r w:rsidRPr="00ED556F">
              <w:rPr>
                <w:b/>
                <w:bCs/>
              </w:rPr>
              <w:t xml:space="preserve"> and lines of accountability of each organisation, including those that contribute to periods of experiential and inter-professional learning. </w:t>
            </w:r>
          </w:p>
        </w:tc>
      </w:tr>
      <w:tr w:rsidR="000A14C3" w:rsidRPr="007342B3" w14:paraId="01011F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798826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F4EC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0F272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C5ECA3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810DF4"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1E0BA43"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FA401AB" w14:textId="435349A0"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8958595"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5567E92" w14:textId="0E5482F8"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4.2 is:   </w:t>
            </w:r>
          </w:p>
        </w:tc>
        <w:tc>
          <w:tcPr>
            <w:tcW w:w="1134" w:type="dxa"/>
            <w:gridSpan w:val="2"/>
            <w:tcBorders>
              <w:top w:val="nil"/>
              <w:left w:val="nil"/>
              <w:bottom w:val="nil"/>
              <w:right w:val="nil"/>
            </w:tcBorders>
            <w:shd w:val="clear" w:color="auto" w:fill="00759B" w:themeFill="accent1"/>
            <w:vAlign w:val="center"/>
          </w:tcPr>
          <w:p w14:paraId="424285E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861458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17A0C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51396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7E913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97119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DC470B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326B1C"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44040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45BB89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05D832D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3F48CA" w14:textId="77777777" w:rsidR="000A14C3" w:rsidRPr="00ED556F" w:rsidRDefault="000A14C3" w:rsidP="001B7D28">
            <w:pPr>
              <w:pStyle w:val="ListParagraph"/>
              <w:numPr>
                <w:ilvl w:val="1"/>
                <w:numId w:val="18"/>
              </w:numPr>
              <w:ind w:left="567" w:hanging="567"/>
              <w:contextualSpacing w:val="0"/>
              <w:rPr>
                <w:b/>
                <w:bCs/>
              </w:rPr>
            </w:pPr>
            <w:r w:rsidRPr="00ED556F">
              <w:rPr>
                <w:b/>
                <w:bCs/>
              </w:rPr>
              <w:t xml:space="preserve">The views of a range of stakeholders – including patients, the public and supervisors – must be </w:t>
            </w:r>
            <w:proofErr w:type="gramStart"/>
            <w:r w:rsidRPr="00ED556F">
              <w:rPr>
                <w:b/>
                <w:bCs/>
              </w:rPr>
              <w:t>taken into account</w:t>
            </w:r>
            <w:proofErr w:type="gramEnd"/>
            <w:r w:rsidRPr="00ED556F">
              <w:rPr>
                <w:b/>
                <w:bCs/>
              </w:rPr>
              <w:t xml:space="preserve"> when designing and delivering MPharm degrees. </w:t>
            </w:r>
          </w:p>
        </w:tc>
      </w:tr>
      <w:tr w:rsidR="000A14C3" w:rsidRPr="007342B3" w14:paraId="1E6122C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2234A8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2EF00B5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F0F0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498ED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AAA3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FF968BC"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07CABD" w14:textId="02C3AD01"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7DB728A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E33D75A" w14:textId="42B9714D"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4.3 is:   </w:t>
            </w:r>
          </w:p>
        </w:tc>
        <w:tc>
          <w:tcPr>
            <w:tcW w:w="1134" w:type="dxa"/>
            <w:gridSpan w:val="2"/>
            <w:tcBorders>
              <w:top w:val="nil"/>
              <w:left w:val="nil"/>
              <w:bottom w:val="nil"/>
              <w:right w:val="nil"/>
            </w:tcBorders>
            <w:shd w:val="clear" w:color="auto" w:fill="00759B" w:themeFill="accent1"/>
            <w:vAlign w:val="center"/>
          </w:tcPr>
          <w:p w14:paraId="15D9767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34532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2A31D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61049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BF23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699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CA3A35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9FA4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85ECBC"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7D8C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5BBDC4C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500432" w14:textId="77777777" w:rsidR="000A14C3" w:rsidRPr="00ED556F" w:rsidRDefault="000A14C3" w:rsidP="001B7D28">
            <w:pPr>
              <w:pStyle w:val="ListParagraph"/>
              <w:numPr>
                <w:ilvl w:val="1"/>
                <w:numId w:val="18"/>
              </w:numPr>
              <w:ind w:left="567" w:hanging="567"/>
              <w:contextualSpacing w:val="0"/>
              <w:rPr>
                <w:b/>
                <w:bCs/>
              </w:rPr>
            </w:pPr>
            <w:r w:rsidRPr="00ED556F">
              <w:rPr>
                <w:b/>
                <w:bCs/>
              </w:rPr>
              <w:t xml:space="preserve">Feedback from student pharmacists must be built into the monitoring, </w:t>
            </w:r>
            <w:proofErr w:type="gramStart"/>
            <w:r w:rsidRPr="00ED556F">
              <w:rPr>
                <w:b/>
                <w:bCs/>
              </w:rPr>
              <w:t>review</w:t>
            </w:r>
            <w:proofErr w:type="gramEnd"/>
            <w:r w:rsidRPr="00ED556F">
              <w:rPr>
                <w:b/>
                <w:bCs/>
              </w:rPr>
              <w:t xml:space="preserve"> and evaluation processes.</w:t>
            </w:r>
          </w:p>
        </w:tc>
      </w:tr>
      <w:tr w:rsidR="000A14C3" w:rsidRPr="007342B3" w14:paraId="77D9B5A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A34207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CCDC1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C77EC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FAB7F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3776E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6D1C02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9F06B9" w14:textId="56E19D55"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42F3C421"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7C53C94" w14:textId="6A70B067"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4.4 is:   </w:t>
            </w:r>
          </w:p>
        </w:tc>
        <w:tc>
          <w:tcPr>
            <w:tcW w:w="1134" w:type="dxa"/>
            <w:gridSpan w:val="2"/>
            <w:tcBorders>
              <w:top w:val="nil"/>
              <w:left w:val="nil"/>
              <w:bottom w:val="nil"/>
              <w:right w:val="nil"/>
            </w:tcBorders>
            <w:shd w:val="clear" w:color="auto" w:fill="00759B" w:themeFill="accent1"/>
            <w:vAlign w:val="center"/>
          </w:tcPr>
          <w:p w14:paraId="64B204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055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C679E7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5772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3784F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023952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A73E1FC"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B7F0C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9C73AE"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0ECA4E"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BB78C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983860" w14:textId="77777777" w:rsidR="000A14C3" w:rsidRPr="00ED556F" w:rsidRDefault="000A14C3" w:rsidP="001B7D28">
            <w:pPr>
              <w:pStyle w:val="ListParagraph"/>
              <w:numPr>
                <w:ilvl w:val="1"/>
                <w:numId w:val="18"/>
              </w:numPr>
              <w:ind w:left="567" w:hanging="567"/>
              <w:contextualSpacing w:val="0"/>
              <w:rPr>
                <w:b/>
                <w:bCs/>
              </w:rPr>
            </w:pPr>
            <w:r w:rsidRPr="00ED556F">
              <w:rPr>
                <w:b/>
                <w:bCs/>
              </w:rPr>
              <w:t xml:space="preserve">Systems and policies must be used in such a way that the MPharm degree is evaluated on the basis of evidence and that there is continuous improvement in its delivery. </w:t>
            </w:r>
          </w:p>
        </w:tc>
      </w:tr>
      <w:tr w:rsidR="000A14C3" w:rsidRPr="007342B3" w14:paraId="77970C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B8F10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7E17C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26404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20C1FC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62BC0F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737DB0C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F90691" w14:textId="5D7DF497" w:rsidR="007270C1" w:rsidRPr="003A473C" w:rsidRDefault="00DC03F0"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DC03F0" w:rsidRPr="00DC03F0" w:rsidDel="00007E00" w14:paraId="59FA5895" w14:textId="77777777" w:rsidTr="00DC03F0">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7F2D247" w14:textId="442DF945" w:rsidR="007270C1" w:rsidRPr="00DC03F0"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4.5 is:   </w:t>
            </w:r>
          </w:p>
        </w:tc>
        <w:tc>
          <w:tcPr>
            <w:tcW w:w="1134" w:type="dxa"/>
            <w:gridSpan w:val="2"/>
            <w:tcBorders>
              <w:top w:val="nil"/>
              <w:left w:val="nil"/>
              <w:bottom w:val="nil"/>
              <w:right w:val="nil"/>
            </w:tcBorders>
            <w:shd w:val="clear" w:color="auto" w:fill="00759B" w:themeFill="accent1"/>
            <w:vAlign w:val="center"/>
          </w:tcPr>
          <w:p w14:paraId="7979B28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56228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CC1C7FE"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835620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1223FE7"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49363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79440F6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2539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2B0A5D"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35397B8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33D2C2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58CBD0B" w14:textId="77777777" w:rsidR="000A14C3" w:rsidRPr="00ED556F" w:rsidRDefault="000A14C3" w:rsidP="001B7D28">
            <w:pPr>
              <w:pStyle w:val="ListParagraph"/>
              <w:numPr>
                <w:ilvl w:val="1"/>
                <w:numId w:val="18"/>
              </w:numPr>
              <w:ind w:left="567" w:hanging="567"/>
              <w:contextualSpacing w:val="0"/>
              <w:rPr>
                <w:b/>
                <w:bCs/>
              </w:rPr>
            </w:pPr>
            <w:r w:rsidRPr="00ED556F">
              <w:rPr>
                <w:b/>
                <w:bCs/>
              </w:rPr>
              <w:lastRenderedPageBreak/>
              <w:t xml:space="preserve">MPharm degrees must be revised when there are significant changes in practice, to make sure provision is relevant and current. </w:t>
            </w:r>
          </w:p>
        </w:tc>
      </w:tr>
      <w:tr w:rsidR="000A14C3" w:rsidRPr="007342B3" w14:paraId="54B8EBF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CD2E5B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C3CE1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C600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15C3A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F6B02" w14:textId="77777777" w:rsidR="000A14C3" w:rsidRPr="007342B3" w:rsidRDefault="000A14C3" w:rsidP="000A14C3">
            <w:pPr>
              <w:rPr>
                <w:b/>
                <w:bCs/>
                <w:noProof/>
              </w:rPr>
            </w:pPr>
            <w:r w:rsidRPr="004F533E">
              <w:rPr>
                <w:rFonts w:ascii="Calibri" w:hAnsi="Calibri" w:cs="Calibri"/>
              </w:rPr>
              <w:t>(expand as necessary)</w:t>
            </w:r>
          </w:p>
        </w:tc>
      </w:tr>
      <w:tr w:rsidR="007270C1" w:rsidRPr="00BF6CEA" w14:paraId="33D90C5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411BEC" w14:textId="35C382AC" w:rsidR="007270C1" w:rsidRPr="00BF6CEA" w:rsidRDefault="00BF6CE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BF6CEA">
              <w:rPr>
                <w:rFonts w:ascii="Calibri" w:eastAsia="Times New Roman" w:hAnsi="Calibri" w:cs="Calibri"/>
                <w:b/>
                <w:color w:val="FFFFFF" w:themeColor="background1"/>
              </w:rPr>
              <w:t xml:space="preserve"> </w:t>
            </w:r>
            <w:r w:rsidR="007270C1" w:rsidRPr="00BF6CEA">
              <w:rPr>
                <w:rFonts w:ascii="Calibri" w:eastAsia="Times New Roman" w:hAnsi="Calibri" w:cs="Calibri"/>
                <w:b/>
                <w:color w:val="FFFFFF" w:themeColor="background1"/>
              </w:rPr>
              <w:t>Accreditation team use only:</w:t>
            </w:r>
          </w:p>
        </w:tc>
      </w:tr>
      <w:tr w:rsidR="00BF6CEA" w:rsidRPr="00BF6CEA" w:rsidDel="00007E00" w14:paraId="4FC71EE4"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8BB5D1E" w14:textId="70DE12E0" w:rsidR="007270C1" w:rsidRPr="00BF6CEA"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4.6 is:   </w:t>
            </w:r>
          </w:p>
        </w:tc>
        <w:tc>
          <w:tcPr>
            <w:tcW w:w="1134" w:type="dxa"/>
            <w:gridSpan w:val="2"/>
            <w:tcBorders>
              <w:top w:val="nil"/>
              <w:left w:val="nil"/>
              <w:bottom w:val="nil"/>
              <w:right w:val="nil"/>
            </w:tcBorders>
            <w:shd w:val="clear" w:color="auto" w:fill="00759B" w:themeFill="accent1"/>
            <w:vAlign w:val="center"/>
          </w:tcPr>
          <w:p w14:paraId="36F016E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63023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AA54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41259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68992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931507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5AB531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4F8E87F"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BFC178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200D4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45679DC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4906AE95" w14:textId="51B53F6B" w:rsidR="000A14C3" w:rsidRPr="0048377E" w:rsidRDefault="000A14C3" w:rsidP="0048377E">
            <w:pPr>
              <w:pStyle w:val="Heading2"/>
              <w:rPr>
                <w:color w:val="FFFFFF" w:themeColor="background1"/>
              </w:rPr>
            </w:pPr>
            <w:bookmarkStart w:id="28" w:name="_Toc92960552"/>
            <w:r w:rsidRPr="0048377E">
              <w:rPr>
                <w:color w:val="FFFFFF" w:themeColor="background1"/>
              </w:rPr>
              <w:t>Standard 5: Curriculum design and delivery</w:t>
            </w:r>
            <w:bookmarkEnd w:id="28"/>
            <w:r w:rsidRPr="0048377E">
              <w:rPr>
                <w:color w:val="FFFFFF" w:themeColor="background1"/>
              </w:rPr>
              <w:t xml:space="preserve"> </w:t>
            </w:r>
          </w:p>
          <w:p w14:paraId="20645D9A" w14:textId="77777777" w:rsidR="000A14C3" w:rsidRPr="007342B3" w:rsidRDefault="000A14C3" w:rsidP="000A14C3">
            <w:pPr>
              <w:rPr>
                <w:b/>
                <w:bCs/>
                <w:color w:val="FFFFFF" w:themeColor="background1"/>
              </w:rPr>
            </w:pPr>
            <w:r w:rsidRPr="00182658">
              <w:rPr>
                <w:b/>
                <w:bCs/>
                <w:color w:val="FFFFFF" w:themeColor="background1"/>
              </w:rPr>
              <w:t>The MPharm degree curriculum must use a coherent teaching and learning strategy to develop the required skills, knowledge, understanding and professional behaviours to meet the outcomes in part 1 of these standards. The design and delivery of MPharm degrees must ensure that student pharmacists practise safely and effectively.</w:t>
            </w:r>
          </w:p>
        </w:tc>
      </w:tr>
      <w:tr w:rsidR="007270C1" w:rsidRPr="003A473C" w:rsidDel="00007E00" w14:paraId="20C30D77"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A355578" w14:textId="6BCEE854"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FE61E9">
              <w:rPr>
                <w:rFonts w:ascii="Calibri" w:eastAsia="Calibri" w:hAnsi="Calibri" w:cs="Calibri"/>
                <w:b/>
                <w:color w:val="FFFFFF" w:themeColor="background1"/>
              </w:rPr>
              <w:t>5</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B1C9683"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816982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2C70916"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8652567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B4879A"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534E4E3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1BF9E3"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There must be a curriculum and a teaching and learning strategy for the MPharm degree, which set out how student pharmacists will achieve the learning outcomes in part 1. </w:t>
            </w:r>
          </w:p>
        </w:tc>
      </w:tr>
      <w:tr w:rsidR="000A14C3" w:rsidRPr="007342B3" w14:paraId="21BE3A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1B31C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4526A8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CE7E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D45E3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22FE057"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3223B981"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E4758BB" w14:textId="60D53045"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4832891B"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F904CDA" w14:textId="2366E55E"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 is:   </w:t>
            </w:r>
          </w:p>
        </w:tc>
        <w:tc>
          <w:tcPr>
            <w:tcW w:w="1134" w:type="dxa"/>
            <w:gridSpan w:val="2"/>
            <w:tcBorders>
              <w:top w:val="nil"/>
              <w:left w:val="nil"/>
              <w:bottom w:val="nil"/>
              <w:right w:val="nil"/>
            </w:tcBorders>
            <w:shd w:val="clear" w:color="auto" w:fill="00759B" w:themeFill="accent1"/>
            <w:vAlign w:val="center"/>
          </w:tcPr>
          <w:p w14:paraId="7DE1098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465674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D36908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4236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154404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18834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117830B3"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5C2BC5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ABFD57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6CB56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10894B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B42BFE" w14:textId="77777777" w:rsidR="000A14C3" w:rsidRPr="00ED556F" w:rsidRDefault="000A14C3" w:rsidP="001B7D28">
            <w:pPr>
              <w:pStyle w:val="ListParagraph"/>
              <w:numPr>
                <w:ilvl w:val="1"/>
                <w:numId w:val="19"/>
              </w:numPr>
              <w:ind w:left="567" w:hanging="567"/>
              <w:contextualSpacing w:val="0"/>
              <w:rPr>
                <w:b/>
                <w:bCs/>
              </w:rPr>
            </w:pPr>
            <w:r w:rsidRPr="00ED556F">
              <w:rPr>
                <w:b/>
                <w:bCs/>
              </w:rPr>
              <w:lastRenderedPageBreak/>
              <w:t xml:space="preserve">The component parts of the MPharm degree must be linked in a coherent way. This must be progressive with increasing complexity until the appropriate level is reached. </w:t>
            </w:r>
          </w:p>
        </w:tc>
      </w:tr>
      <w:tr w:rsidR="000A14C3" w:rsidRPr="007342B3" w14:paraId="32B154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E7B2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07BAB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9220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F950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94B35A"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BAFE5F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E1B37F" w14:textId="45C8863C"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023FC832"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1695AB" w14:textId="1B894A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5.2 is:   </w:t>
            </w:r>
          </w:p>
        </w:tc>
        <w:tc>
          <w:tcPr>
            <w:tcW w:w="1134" w:type="dxa"/>
            <w:gridSpan w:val="2"/>
            <w:tcBorders>
              <w:top w:val="nil"/>
              <w:left w:val="nil"/>
              <w:bottom w:val="nil"/>
              <w:right w:val="nil"/>
            </w:tcBorders>
            <w:shd w:val="clear" w:color="auto" w:fill="00759B" w:themeFill="accent1"/>
            <w:vAlign w:val="center"/>
          </w:tcPr>
          <w:p w14:paraId="7B787F8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1773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C1905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75713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CC72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284086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6B00C07"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EFE27B"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4D06AFF"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A568BE"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22304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1AE729"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Everyone involved must work together to deliver the MPharm degree. </w:t>
            </w:r>
          </w:p>
        </w:tc>
      </w:tr>
      <w:tr w:rsidR="000A14C3" w:rsidRPr="007342B3" w14:paraId="30E7C6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6A153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BC746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CCACF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585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69DDB02"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A498A09"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36618F" w14:textId="79C4D9E0"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38328777"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414201" w14:textId="3FB2BE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5.3 is:   </w:t>
            </w:r>
          </w:p>
        </w:tc>
        <w:tc>
          <w:tcPr>
            <w:tcW w:w="1134" w:type="dxa"/>
            <w:gridSpan w:val="2"/>
            <w:tcBorders>
              <w:top w:val="nil"/>
              <w:left w:val="nil"/>
              <w:bottom w:val="nil"/>
              <w:right w:val="nil"/>
            </w:tcBorders>
            <w:shd w:val="clear" w:color="auto" w:fill="00759B" w:themeFill="accent1"/>
            <w:vAlign w:val="center"/>
          </w:tcPr>
          <w:p w14:paraId="5C8DE5D2"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80039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B691B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01251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01E17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328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F24049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83AACA"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3BB09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F28D50"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9E91A6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2D0A19"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The learning outcomes must be delivered in an environment which places study in a professional and academic context and requires students to conduct themselves professionally. </w:t>
            </w:r>
          </w:p>
        </w:tc>
      </w:tr>
      <w:tr w:rsidR="000A14C3" w:rsidRPr="007342B3" w14:paraId="4A3416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EA6B98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2887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E7CA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481F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ADDCDFD"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5D23A5A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13229D" w14:textId="3106D6F5"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2FE07FDC"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B9779A6" w14:textId="315C3BB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5.4 is:   </w:t>
            </w:r>
          </w:p>
        </w:tc>
        <w:tc>
          <w:tcPr>
            <w:tcW w:w="1134" w:type="dxa"/>
            <w:gridSpan w:val="2"/>
            <w:tcBorders>
              <w:top w:val="nil"/>
              <w:left w:val="nil"/>
              <w:bottom w:val="nil"/>
              <w:right w:val="nil"/>
            </w:tcBorders>
            <w:shd w:val="clear" w:color="auto" w:fill="00759B" w:themeFill="accent1"/>
            <w:vAlign w:val="center"/>
          </w:tcPr>
          <w:p w14:paraId="3D2297B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752080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322389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19287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1EA2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77228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99B85F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295DC69"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A358F8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D0BACF"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5AB11D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9D6825"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An MPharm degree must be delivered in an environment that uses research to support learning and teaching. </w:t>
            </w:r>
          </w:p>
        </w:tc>
      </w:tr>
      <w:tr w:rsidR="000A14C3" w:rsidRPr="007342B3" w14:paraId="7526B36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7C1903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C7919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E28F30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3FFE44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AE45893"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363D78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47D930" w14:textId="51F6BAF0"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A0C26D6"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4F8498" w14:textId="758B3BD0"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5.5 is:   </w:t>
            </w:r>
          </w:p>
        </w:tc>
        <w:tc>
          <w:tcPr>
            <w:tcW w:w="1134" w:type="dxa"/>
            <w:gridSpan w:val="2"/>
            <w:tcBorders>
              <w:top w:val="nil"/>
              <w:left w:val="nil"/>
              <w:bottom w:val="nil"/>
              <w:right w:val="nil"/>
            </w:tcBorders>
            <w:shd w:val="clear" w:color="auto" w:fill="00759B" w:themeFill="accent1"/>
            <w:vAlign w:val="center"/>
          </w:tcPr>
          <w:p w14:paraId="1D9EAA6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1291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FC6D4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61964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F88B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13175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7738AA9"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3A8CE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D27E1"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2FBD07"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4EAB04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D0B488A"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The MPharm degree curriculum must include practical experience of working with patients, </w:t>
            </w:r>
            <w:proofErr w:type="gramStart"/>
            <w:r w:rsidRPr="00ED556F">
              <w:rPr>
                <w:b/>
                <w:bCs/>
              </w:rPr>
              <w:t>carers</w:t>
            </w:r>
            <w:proofErr w:type="gramEnd"/>
            <w:r w:rsidRPr="00ED556F">
              <w:rPr>
                <w:b/>
                <w:bCs/>
              </w:rPr>
              <w:t xml:space="preserve"> and other healthcare professionals. Student pharmacists must be exposed to an appropriate breadth of patients and people in a range of environments (real-life and simulated) to enable them to develop the skills and the level of competency to achieve the relevant learning outcomes in part 1 of these standards. This experience should be progressive, increase in complexity and take account of best practice.</w:t>
            </w:r>
          </w:p>
        </w:tc>
      </w:tr>
      <w:tr w:rsidR="000A14C3" w:rsidRPr="007342B3" w14:paraId="3A68882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A79349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6E43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9744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DE85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B2C62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63BFE51F"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CD4AEB" w14:textId="131A22B9"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646A397"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3C5C89A" w14:textId="292BC9D6"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5.6 is:   </w:t>
            </w:r>
          </w:p>
        </w:tc>
        <w:tc>
          <w:tcPr>
            <w:tcW w:w="1134" w:type="dxa"/>
            <w:gridSpan w:val="2"/>
            <w:tcBorders>
              <w:top w:val="nil"/>
              <w:left w:val="nil"/>
              <w:bottom w:val="nil"/>
              <w:right w:val="nil"/>
            </w:tcBorders>
            <w:shd w:val="clear" w:color="auto" w:fill="00759B" w:themeFill="accent1"/>
            <w:vAlign w:val="center"/>
          </w:tcPr>
          <w:p w14:paraId="65AD9CD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32855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066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387505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E866E6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1216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E409D1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FE8BA1"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63F8D0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5B2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36D1E0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74F9753"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During the MPharm degree, there must be an inter-professional learning plan. Student pharmacists must engage with inter-professional education (IPE) through a progressive </w:t>
            </w:r>
            <w:r w:rsidRPr="00ED556F">
              <w:rPr>
                <w:b/>
                <w:bCs/>
              </w:rPr>
              <w:lastRenderedPageBreak/>
              <w:t xml:space="preserve">strategy based on </w:t>
            </w:r>
            <w:hyperlink r:id="rId15" w:history="1">
              <w:r w:rsidRPr="00ED556F">
                <w:rPr>
                  <w:b/>
                  <w:bCs/>
                  <w:u w:val="single"/>
                </w:rPr>
                <w:t xml:space="preserve">the Centre for the Advancement of Interprofessional Education’s </w:t>
              </w:r>
              <w:r w:rsidRPr="00ED556F">
                <w:rPr>
                  <w:b/>
                  <w:bCs/>
                  <w:i/>
                  <w:iCs/>
                  <w:u w:val="single"/>
                </w:rPr>
                <w:t>Interprofessional Education Guidelines</w:t>
              </w:r>
            </w:hyperlink>
            <w:r w:rsidRPr="00ED556F">
              <w:rPr>
                <w:b/>
                <w:bCs/>
                <w:u w:val="single"/>
              </w:rPr>
              <w:t xml:space="preserve"> </w:t>
            </w:r>
            <w:r w:rsidRPr="00ED556F">
              <w:rPr>
                <w:b/>
                <w:bCs/>
              </w:rPr>
              <w:t xml:space="preserve">(CAIPE, 2017). IPE must mirror practice and must focus on interaction with other health and social care professionals. Engagement with students from other health and care professions must begin at an early stage, progressing to more complex interactions to enable students to develop the skills and level of competency they need to achieve the relevant learning outcomes in part 1 of these standards. </w:t>
            </w:r>
          </w:p>
        </w:tc>
      </w:tr>
      <w:tr w:rsidR="000A14C3" w:rsidRPr="007342B3" w14:paraId="18F636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25A1F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AC3A67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641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CA37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60F6DD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327386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49113E" w14:textId="7784785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5B38C43"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2ABF986" w14:textId="4D01715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5.7 is:   </w:t>
            </w:r>
          </w:p>
        </w:tc>
        <w:tc>
          <w:tcPr>
            <w:tcW w:w="1134" w:type="dxa"/>
            <w:gridSpan w:val="2"/>
            <w:tcBorders>
              <w:top w:val="nil"/>
              <w:left w:val="nil"/>
              <w:bottom w:val="nil"/>
              <w:right w:val="nil"/>
            </w:tcBorders>
            <w:shd w:val="clear" w:color="auto" w:fill="00759B" w:themeFill="accent1"/>
            <w:vAlign w:val="center"/>
          </w:tcPr>
          <w:p w14:paraId="0A905A4E"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368771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EE526E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438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81200C0"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0832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5764CC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1896E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619DA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E97D3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4956F71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E1A3D4" w14:textId="77777777" w:rsidR="000A14C3" w:rsidRPr="00ED556F" w:rsidRDefault="000A14C3" w:rsidP="001B7D28">
            <w:pPr>
              <w:pStyle w:val="ListParagraph"/>
              <w:numPr>
                <w:ilvl w:val="1"/>
                <w:numId w:val="19"/>
              </w:numPr>
              <w:ind w:left="567" w:hanging="567"/>
              <w:contextualSpacing w:val="0"/>
              <w:rPr>
                <w:b/>
                <w:bCs/>
              </w:rPr>
            </w:pPr>
            <w:r w:rsidRPr="00ED556F">
              <w:rPr>
                <w:b/>
                <w:bCs/>
              </w:rPr>
              <w:t>Academic regulations must be appropriate for a degree that is both academic and professional and may lead to further professional training. As a general principle, all assessments must be passed. This means that condonation</w:t>
            </w:r>
            <w:r w:rsidRPr="00ED556F">
              <w:rPr>
                <w:b/>
                <w:bCs/>
                <w:vertAlign w:val="superscript"/>
              </w:rPr>
              <w:footnoteReference w:id="3"/>
            </w:r>
            <w:r w:rsidRPr="00ED556F">
              <w:rPr>
                <w:b/>
                <w:bCs/>
                <w:vertAlign w:val="superscript"/>
              </w:rPr>
              <w:t>,</w:t>
            </w:r>
            <w:r w:rsidRPr="00ED556F">
              <w:rPr>
                <w:b/>
                <w:bCs/>
              </w:rPr>
              <w:t xml:space="preserve"> compensation</w:t>
            </w:r>
            <w:r w:rsidRPr="00ED556F">
              <w:rPr>
                <w:b/>
                <w:bCs/>
                <w:vertAlign w:val="superscript"/>
              </w:rPr>
              <w:footnoteReference w:id="4"/>
            </w:r>
            <w:r w:rsidRPr="00ED556F">
              <w:rPr>
                <w:b/>
                <w:bCs/>
              </w:rPr>
              <w:t>, trailing</w:t>
            </w:r>
            <w:r w:rsidRPr="00ED556F">
              <w:rPr>
                <w:b/>
                <w:bCs/>
                <w:vertAlign w:val="superscript"/>
              </w:rPr>
              <w:footnoteReference w:id="5"/>
            </w:r>
            <w:r w:rsidRPr="00ED556F">
              <w:rPr>
                <w:b/>
                <w:bCs/>
              </w:rPr>
              <w:t xml:space="preserve">, extended re-sit opportunities and other remedial measures should be extremely limited and justifiable, if they are permitted at all. Academic regulations may be more stringent than for other programmes. This may include higher-than-usual pass marks for assessments that demonstrate the knowledge and skills essential to safe and effective pharmacy practice. </w:t>
            </w:r>
          </w:p>
        </w:tc>
      </w:tr>
      <w:tr w:rsidR="000A14C3" w:rsidRPr="007342B3" w14:paraId="423A62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534AE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E6CAC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1504C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65DB8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A3A695"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094664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9EDE" w14:textId="791BCAA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31365EB4"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8251533" w14:textId="44B7F40C"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5.8 is:   </w:t>
            </w:r>
          </w:p>
        </w:tc>
        <w:tc>
          <w:tcPr>
            <w:tcW w:w="1134" w:type="dxa"/>
            <w:gridSpan w:val="2"/>
            <w:tcBorders>
              <w:top w:val="nil"/>
              <w:left w:val="nil"/>
              <w:bottom w:val="nil"/>
              <w:right w:val="nil"/>
            </w:tcBorders>
            <w:shd w:val="clear" w:color="auto" w:fill="00759B" w:themeFill="accent1"/>
            <w:vAlign w:val="center"/>
          </w:tcPr>
          <w:p w14:paraId="21AB2A1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412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7A43C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3065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387864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4544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5D031C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DBF93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F51E1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90CB33"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0DDD6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23AE2D"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Higher-education institutions must have procedures to deal with concerns – including fitness to practise procedures – and must tell the GPhC about any hearing outcomes (apart from warnings or when no action was taken) imposed on students. </w:t>
            </w:r>
          </w:p>
        </w:tc>
      </w:tr>
      <w:tr w:rsidR="000A14C3" w:rsidRPr="007342B3" w14:paraId="24B43B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9724B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B98CC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959987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D39CF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DE3515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692C0E5"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DAF918" w14:textId="2AAC4F96" w:rsidR="00AD7A5D" w:rsidRPr="003A473C" w:rsidRDefault="00FA52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AD7A5D" w:rsidRPr="003A473C" w:rsidDel="00007E00" w14:paraId="597C7CA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6FEED5B" w14:textId="476341BD" w:rsidR="00AD7A5D" w:rsidRPr="00FA52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5.9 is:   </w:t>
            </w:r>
          </w:p>
        </w:tc>
        <w:tc>
          <w:tcPr>
            <w:tcW w:w="1134" w:type="dxa"/>
            <w:gridSpan w:val="2"/>
            <w:tcBorders>
              <w:top w:val="nil"/>
              <w:left w:val="nil"/>
              <w:bottom w:val="nil"/>
              <w:right w:val="nil"/>
            </w:tcBorders>
            <w:shd w:val="clear" w:color="auto" w:fill="00759B" w:themeFill="accent1"/>
            <w:vAlign w:val="center"/>
          </w:tcPr>
          <w:p w14:paraId="7CE47F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58442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4FED0C4"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480350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E9BC9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12068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BB3283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7C78583"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9C0D0"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A46DDA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7CE960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7FB84F" w14:textId="77777777" w:rsidR="000A14C3" w:rsidRPr="00ED556F" w:rsidRDefault="000A14C3" w:rsidP="001B7D28">
            <w:pPr>
              <w:pStyle w:val="ListParagraph"/>
              <w:numPr>
                <w:ilvl w:val="1"/>
                <w:numId w:val="19"/>
              </w:numPr>
              <w:ind w:left="567" w:hanging="567"/>
              <w:contextualSpacing w:val="0"/>
              <w:rPr>
                <w:b/>
                <w:bCs/>
              </w:rPr>
            </w:pPr>
            <w:r w:rsidRPr="00ED556F">
              <w:rPr>
                <w:b/>
                <w:bCs/>
              </w:rPr>
              <w:t xml:space="preserve">Student pharmacists must not receive an accredited MPharm degree if there are any outstanding student fitness to practise concerns about them. </w:t>
            </w:r>
          </w:p>
        </w:tc>
      </w:tr>
      <w:tr w:rsidR="000A14C3" w:rsidRPr="007342B3" w14:paraId="01CA539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B5E508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44178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481AD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3B9BB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1D209AF"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0165F1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A57C7" w14:textId="31C10AAE"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928698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54B8BA4" w14:textId="4632784E"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5.10 is:   </w:t>
            </w:r>
          </w:p>
        </w:tc>
        <w:tc>
          <w:tcPr>
            <w:tcW w:w="1134" w:type="dxa"/>
            <w:gridSpan w:val="2"/>
            <w:tcBorders>
              <w:top w:val="nil"/>
              <w:left w:val="nil"/>
              <w:bottom w:val="nil"/>
              <w:right w:val="nil"/>
            </w:tcBorders>
            <w:shd w:val="clear" w:color="auto" w:fill="00759B" w:themeFill="accent1"/>
            <w:vAlign w:val="center"/>
          </w:tcPr>
          <w:p w14:paraId="0E38D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08926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970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82656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770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00644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5FF0D868"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E65CBFE"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24FA89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03701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1DC138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B560316" w14:textId="171EAB7C" w:rsidR="000A14C3" w:rsidRPr="00ED556F" w:rsidRDefault="000A14C3" w:rsidP="001B7D28">
            <w:pPr>
              <w:pStyle w:val="ListParagraph"/>
              <w:numPr>
                <w:ilvl w:val="1"/>
                <w:numId w:val="19"/>
              </w:numPr>
              <w:ind w:left="567" w:hanging="567"/>
              <w:contextualSpacing w:val="0"/>
              <w:rPr>
                <w:b/>
                <w:bCs/>
              </w:rPr>
            </w:pPr>
            <w:r w:rsidRPr="00ED556F">
              <w:rPr>
                <w:b/>
                <w:bCs/>
              </w:rPr>
              <w:t>In the event of programme closure or withdrawal, higher-education institutions</w:t>
            </w:r>
            <w:r w:rsidRPr="00ED556F" w:rsidDel="0097438D">
              <w:rPr>
                <w:b/>
                <w:bCs/>
              </w:rPr>
              <w:t xml:space="preserve"> </w:t>
            </w:r>
            <w:r w:rsidRPr="00ED556F">
              <w:rPr>
                <w:b/>
                <w:bCs/>
              </w:rPr>
              <w:t>must have a documented process in place to manage the programme closure or withdrawal.</w:t>
            </w:r>
          </w:p>
        </w:tc>
      </w:tr>
      <w:tr w:rsidR="000A14C3" w:rsidRPr="007342B3" w14:paraId="7A52C08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8A9702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40D12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4CA3989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22664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BB5258"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CC1F67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4A583E6" w14:textId="6C37C560"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5EEA4049"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19A421" w14:textId="7B7129DC"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5.11 is:   </w:t>
            </w:r>
          </w:p>
        </w:tc>
        <w:tc>
          <w:tcPr>
            <w:tcW w:w="1134" w:type="dxa"/>
            <w:gridSpan w:val="2"/>
            <w:tcBorders>
              <w:top w:val="nil"/>
              <w:left w:val="nil"/>
              <w:bottom w:val="nil"/>
              <w:right w:val="nil"/>
            </w:tcBorders>
            <w:shd w:val="clear" w:color="auto" w:fill="00759B" w:themeFill="accent1"/>
            <w:vAlign w:val="center"/>
          </w:tcPr>
          <w:p w14:paraId="5ABA38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0235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515F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0272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7AE25B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571905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DA6D52B"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B12A0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6A7266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57892D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E42180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58D722" w14:textId="77777777" w:rsidR="000A14C3" w:rsidRPr="00ED556F" w:rsidRDefault="000A14C3" w:rsidP="001B7D28">
            <w:pPr>
              <w:pStyle w:val="ListParagraph"/>
              <w:numPr>
                <w:ilvl w:val="1"/>
                <w:numId w:val="19"/>
              </w:numPr>
              <w:ind w:left="567" w:hanging="567"/>
              <w:contextualSpacing w:val="0"/>
              <w:rPr>
                <w:b/>
                <w:bCs/>
              </w:rPr>
            </w:pPr>
            <w:r w:rsidRPr="00ED556F">
              <w:rPr>
                <w:b/>
                <w:bCs/>
              </w:rPr>
              <w:t>Higher-education institutions</w:t>
            </w:r>
            <w:r w:rsidRPr="00ED556F" w:rsidDel="0097438D">
              <w:rPr>
                <w:b/>
                <w:bCs/>
              </w:rPr>
              <w:t xml:space="preserve"> </w:t>
            </w:r>
            <w:r w:rsidRPr="00ED556F">
              <w:rPr>
                <w:b/>
                <w:bCs/>
              </w:rPr>
              <w:t>must be open with the GPhC about matters affecting an accredited MPharm degree. Under the Pharmacy Order 2010 schools of pharmacy</w:t>
            </w:r>
            <w:r w:rsidRPr="00ED556F" w:rsidDel="0097438D">
              <w:rPr>
                <w:b/>
                <w:bCs/>
              </w:rPr>
              <w:t xml:space="preserve"> </w:t>
            </w:r>
            <w:r w:rsidRPr="00ED556F">
              <w:rPr>
                <w:b/>
                <w:bCs/>
              </w:rPr>
              <w:t xml:space="preserve">must assist the GPhC in its work by providing information upon request. </w:t>
            </w:r>
          </w:p>
        </w:tc>
      </w:tr>
      <w:tr w:rsidR="000A14C3" w:rsidRPr="007342B3" w14:paraId="306789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A1AFB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DDF0F9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6512E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9311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1A6C4"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8530FD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5C987F" w14:textId="3E35DB59" w:rsidR="00AD7A5D" w:rsidRPr="003A473C" w:rsidRDefault="00815717" w:rsidP="00C1249B">
            <w:pPr>
              <w:spacing w:after="0"/>
              <w:rPr>
                <w:rFonts w:ascii="Calibri" w:eastAsia="Calibri" w:hAnsi="Calibri" w:cs="Calibri"/>
                <w:b/>
                <w:color w:val="FFFFFF" w:themeColor="background1"/>
              </w:rPr>
            </w:pPr>
            <w:bookmarkStart w:id="29" w:name="_Hlk82439965"/>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4D5D5114"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5944EF4" w14:textId="38FE91D0"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5.12 is:   </w:t>
            </w:r>
          </w:p>
        </w:tc>
        <w:tc>
          <w:tcPr>
            <w:tcW w:w="1134" w:type="dxa"/>
            <w:gridSpan w:val="2"/>
            <w:tcBorders>
              <w:top w:val="nil"/>
              <w:left w:val="nil"/>
              <w:bottom w:val="nil"/>
              <w:right w:val="nil"/>
            </w:tcBorders>
            <w:shd w:val="clear" w:color="auto" w:fill="00759B" w:themeFill="accent1"/>
            <w:vAlign w:val="center"/>
          </w:tcPr>
          <w:p w14:paraId="15A5ACE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14832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E7C21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323020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0E86FC"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4155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0739F9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FC5CD0"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F81444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25DBF1"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9"/>
      <w:tr w:rsidR="000A14C3" w:rsidRPr="00AD7A5D" w14:paraId="2034BB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5768E10" w14:textId="77777777" w:rsidR="000A14C3" w:rsidRPr="00ED556F" w:rsidRDefault="000A14C3" w:rsidP="001B7D28">
            <w:pPr>
              <w:pStyle w:val="ListParagraph"/>
              <w:numPr>
                <w:ilvl w:val="1"/>
                <w:numId w:val="19"/>
              </w:numPr>
              <w:ind w:left="567" w:hanging="567"/>
              <w:contextualSpacing w:val="0"/>
              <w:rPr>
                <w:b/>
                <w:bCs/>
              </w:rPr>
            </w:pPr>
            <w:r w:rsidRPr="00ED556F">
              <w:rPr>
                <w:b/>
                <w:bCs/>
              </w:rPr>
              <w:t>Higher-education institutions</w:t>
            </w:r>
            <w:r w:rsidRPr="00ED556F" w:rsidDel="0097438D">
              <w:rPr>
                <w:b/>
                <w:bCs/>
              </w:rPr>
              <w:t xml:space="preserve"> </w:t>
            </w:r>
            <w:r w:rsidRPr="00ED556F">
              <w:rPr>
                <w:b/>
                <w:bCs/>
              </w:rPr>
              <w:t xml:space="preserve">must raise relevant issues proactively with the GPhC. </w:t>
            </w:r>
          </w:p>
        </w:tc>
      </w:tr>
      <w:tr w:rsidR="000A14C3" w:rsidRPr="007342B3" w14:paraId="15CE5F3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0166D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D3FE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D698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A4CB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12658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4BC0A2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EE443A" w14:textId="1FEB5DA1"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1FFB50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CDE9D5D" w14:textId="4C7F304A"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5.13 is:   </w:t>
            </w:r>
          </w:p>
        </w:tc>
        <w:tc>
          <w:tcPr>
            <w:tcW w:w="1134" w:type="dxa"/>
            <w:gridSpan w:val="2"/>
            <w:tcBorders>
              <w:top w:val="nil"/>
              <w:left w:val="nil"/>
              <w:bottom w:val="nil"/>
              <w:right w:val="nil"/>
            </w:tcBorders>
            <w:shd w:val="clear" w:color="auto" w:fill="00759B" w:themeFill="accent1"/>
            <w:vAlign w:val="center"/>
          </w:tcPr>
          <w:p w14:paraId="5347C3C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08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2EEF6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010000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A326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73226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F38440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4F2745"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A22BF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27CF7B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0A14C3" w:rsidRPr="007342B3" w14:paraId="23717DE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13F4B757" w14:textId="22D788E9" w:rsidR="000A14C3" w:rsidRPr="0048377E" w:rsidRDefault="000A14C3" w:rsidP="0048377E">
            <w:pPr>
              <w:pStyle w:val="Heading2"/>
              <w:rPr>
                <w:color w:val="FFFFFF" w:themeColor="background1"/>
              </w:rPr>
            </w:pPr>
            <w:bookmarkStart w:id="30" w:name="_Toc92960553"/>
            <w:r w:rsidRPr="0048377E">
              <w:rPr>
                <w:color w:val="FFFFFF" w:themeColor="background1"/>
              </w:rPr>
              <w:lastRenderedPageBreak/>
              <w:t>Standard 6: Assessment</w:t>
            </w:r>
            <w:bookmarkEnd w:id="30"/>
          </w:p>
          <w:p w14:paraId="2E2A2F9E" w14:textId="77777777" w:rsidR="000A14C3" w:rsidRPr="007342B3" w:rsidRDefault="000A14C3" w:rsidP="000A14C3">
            <w:pPr>
              <w:rPr>
                <w:b/>
                <w:bCs/>
                <w:color w:val="FFFFFF" w:themeColor="background1"/>
              </w:rPr>
            </w:pPr>
            <w:r w:rsidRPr="00182658">
              <w:rPr>
                <w:b/>
                <w:bCs/>
                <w:color w:val="FFFFFF" w:themeColor="background1"/>
              </w:rPr>
              <w:t>Higher-education institutions must demonstrate that they have a coherent assessment strategy which assesses the required skills, knowledge, understanding and behaviours to meet the learning outcomes in part 1 of these standards. The assessment strategy must assess whether a student pharmacist’s practice is safe</w:t>
            </w:r>
          </w:p>
        </w:tc>
      </w:tr>
      <w:tr w:rsidR="00AD7A5D" w:rsidRPr="003A473C" w:rsidDel="00007E00" w14:paraId="2AC927CE" w14:textId="77777777" w:rsidTr="00C1249B">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C95C8FB" w14:textId="67609C44"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B26298">
              <w:rPr>
                <w:rFonts w:ascii="Calibri" w:eastAsia="Calibri" w:hAnsi="Calibri" w:cs="Calibri"/>
                <w:b/>
                <w:color w:val="FFFFFF" w:themeColor="background1"/>
              </w:rPr>
              <w:t>6</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694BF609"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545054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22AA198"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11816255"/>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861464"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AD7A5D" w14:paraId="797055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3F858B7"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There must be an assessment plan for the MPharm degree. </w:t>
            </w:r>
          </w:p>
        </w:tc>
      </w:tr>
      <w:tr w:rsidR="000A14C3" w:rsidRPr="007342B3" w14:paraId="28EB9BF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7D7A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C3C42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49809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D6C1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CDF2E1"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7E7306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B1CF85" w14:textId="54952DB6"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3FA2BFC"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E0363C" w14:textId="2FA547F6"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 is:   </w:t>
            </w:r>
          </w:p>
        </w:tc>
        <w:tc>
          <w:tcPr>
            <w:tcW w:w="1134" w:type="dxa"/>
            <w:gridSpan w:val="2"/>
            <w:tcBorders>
              <w:top w:val="nil"/>
              <w:left w:val="nil"/>
              <w:bottom w:val="nil"/>
              <w:right w:val="nil"/>
            </w:tcBorders>
            <w:shd w:val="clear" w:color="auto" w:fill="00759B" w:themeFill="accent1"/>
            <w:vAlign w:val="center"/>
          </w:tcPr>
          <w:p w14:paraId="3D8D6E4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34562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CD0C8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76349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67B7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96227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4F8C5AF"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765B7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A05DF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541B63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C9764A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7B83663" w14:textId="77777777" w:rsidR="000A14C3" w:rsidRPr="00ED556F" w:rsidRDefault="000A14C3" w:rsidP="001B7D28">
            <w:pPr>
              <w:pStyle w:val="ListParagraph"/>
              <w:numPr>
                <w:ilvl w:val="1"/>
                <w:numId w:val="20"/>
              </w:numPr>
              <w:spacing w:after="0"/>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demonstrate that their assessment plan: </w:t>
            </w:r>
          </w:p>
          <w:p w14:paraId="010B5CCB" w14:textId="77777777" w:rsidR="000A14C3" w:rsidRPr="00ED556F" w:rsidRDefault="000A14C3" w:rsidP="001B7D28">
            <w:pPr>
              <w:numPr>
                <w:ilvl w:val="1"/>
                <w:numId w:val="21"/>
              </w:numPr>
              <w:spacing w:after="0"/>
              <w:rPr>
                <w:b/>
                <w:bCs/>
              </w:rPr>
            </w:pPr>
            <w:r w:rsidRPr="00ED556F">
              <w:rPr>
                <w:b/>
                <w:bCs/>
              </w:rPr>
              <w:t xml:space="preserve">is coherent </w:t>
            </w:r>
          </w:p>
          <w:p w14:paraId="2BF38FA5" w14:textId="77777777" w:rsidR="000A14C3" w:rsidRPr="00ED556F" w:rsidRDefault="000A14C3" w:rsidP="001B7D28">
            <w:pPr>
              <w:numPr>
                <w:ilvl w:val="1"/>
                <w:numId w:val="21"/>
              </w:numPr>
              <w:spacing w:after="0"/>
              <w:rPr>
                <w:b/>
                <w:bCs/>
              </w:rPr>
            </w:pPr>
            <w:r w:rsidRPr="00ED556F">
              <w:rPr>
                <w:b/>
                <w:bCs/>
              </w:rPr>
              <w:t xml:space="preserve">is fit for purpose, and </w:t>
            </w:r>
          </w:p>
          <w:p w14:paraId="39DA73C0" w14:textId="77777777" w:rsidR="000A14C3" w:rsidRPr="00ED556F" w:rsidRDefault="000A14C3" w:rsidP="001B7D28">
            <w:pPr>
              <w:numPr>
                <w:ilvl w:val="1"/>
                <w:numId w:val="21"/>
              </w:numPr>
              <w:spacing w:after="0"/>
              <w:rPr>
                <w:b/>
                <w:bCs/>
              </w:rPr>
            </w:pPr>
            <w:r w:rsidRPr="00ED556F">
              <w:rPr>
                <w:b/>
                <w:bCs/>
              </w:rPr>
              <w:t xml:space="preserve">makes sure that assessment is robust, </w:t>
            </w:r>
            <w:proofErr w:type="gramStart"/>
            <w:r w:rsidRPr="00ED556F">
              <w:rPr>
                <w:b/>
                <w:bCs/>
              </w:rPr>
              <w:t>valid</w:t>
            </w:r>
            <w:proofErr w:type="gramEnd"/>
            <w:r w:rsidRPr="00ED556F">
              <w:rPr>
                <w:b/>
                <w:bCs/>
              </w:rPr>
              <w:t xml:space="preserve"> and reliable, and includes diagnostic, formative and summative assessment </w:t>
            </w:r>
          </w:p>
        </w:tc>
      </w:tr>
      <w:tr w:rsidR="000A14C3" w:rsidRPr="007342B3" w14:paraId="255EB3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E33C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5984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80026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EA34F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FEC881"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0FC4B3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D3C1F6" w14:textId="5DBDA2A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17ACF44E"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39BE8A" w14:textId="5DBCE2C5"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6.2 is:   </w:t>
            </w:r>
          </w:p>
        </w:tc>
        <w:tc>
          <w:tcPr>
            <w:tcW w:w="1134" w:type="dxa"/>
            <w:gridSpan w:val="2"/>
            <w:tcBorders>
              <w:top w:val="nil"/>
              <w:left w:val="nil"/>
              <w:bottom w:val="nil"/>
              <w:right w:val="nil"/>
            </w:tcBorders>
            <w:shd w:val="clear" w:color="auto" w:fill="00759B" w:themeFill="accent1"/>
            <w:vAlign w:val="center"/>
          </w:tcPr>
          <w:p w14:paraId="2A4F6E81"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3418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44F1172"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46624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5D204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35895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70EF62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1250F01"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BD7BD1"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143F4B1"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53AC5BC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623FDF" w14:textId="77777777" w:rsidR="000A14C3" w:rsidRPr="00ED556F" w:rsidRDefault="000A14C3" w:rsidP="001B7D28">
            <w:pPr>
              <w:pStyle w:val="ListParagraph"/>
              <w:numPr>
                <w:ilvl w:val="1"/>
                <w:numId w:val="20"/>
              </w:numPr>
              <w:spacing w:after="0"/>
              <w:ind w:left="567" w:hanging="567"/>
              <w:contextualSpacing w:val="0"/>
              <w:rPr>
                <w:b/>
                <w:bCs/>
              </w:rPr>
            </w:pPr>
            <w:r w:rsidRPr="00ED556F">
              <w:rPr>
                <w:b/>
                <w:bCs/>
              </w:rPr>
              <w:lastRenderedPageBreak/>
              <w:t xml:space="preserve">Assessment plans for the MPharm degree must assess the outcomes in part 1 of these standards. The methods of assessment used must be: </w:t>
            </w:r>
          </w:p>
          <w:p w14:paraId="5839253A" w14:textId="77777777" w:rsidR="000A14C3" w:rsidRPr="00ED556F" w:rsidRDefault="000A14C3" w:rsidP="001B7D28">
            <w:pPr>
              <w:numPr>
                <w:ilvl w:val="1"/>
                <w:numId w:val="22"/>
              </w:numPr>
              <w:spacing w:after="0"/>
              <w:rPr>
                <w:b/>
                <w:bCs/>
              </w:rPr>
            </w:pPr>
            <w:r w:rsidRPr="00ED556F">
              <w:rPr>
                <w:b/>
                <w:bCs/>
              </w:rPr>
              <w:t xml:space="preserve">appropriate to the learning outcomes </w:t>
            </w:r>
          </w:p>
          <w:p w14:paraId="23560C65" w14:textId="77777777" w:rsidR="000A14C3" w:rsidRPr="00ED556F" w:rsidRDefault="000A14C3" w:rsidP="001B7D28">
            <w:pPr>
              <w:numPr>
                <w:ilvl w:val="1"/>
                <w:numId w:val="22"/>
              </w:numPr>
              <w:spacing w:after="0"/>
              <w:rPr>
                <w:b/>
                <w:bCs/>
              </w:rPr>
            </w:pPr>
            <w:r w:rsidRPr="00ED556F">
              <w:rPr>
                <w:b/>
                <w:bCs/>
              </w:rPr>
              <w:t xml:space="preserve">in line with current and best practice, and </w:t>
            </w:r>
          </w:p>
          <w:p w14:paraId="37264EDE" w14:textId="77777777" w:rsidR="000A14C3" w:rsidRPr="00ED556F" w:rsidRDefault="000A14C3" w:rsidP="001B7D28">
            <w:pPr>
              <w:numPr>
                <w:ilvl w:val="1"/>
                <w:numId w:val="22"/>
              </w:numPr>
              <w:spacing w:after="0"/>
              <w:rPr>
                <w:b/>
                <w:bCs/>
              </w:rPr>
            </w:pPr>
            <w:r w:rsidRPr="00ED556F">
              <w:rPr>
                <w:b/>
                <w:bCs/>
              </w:rPr>
              <w:t xml:space="preserve">routinely monitored, quality assured and developed </w:t>
            </w:r>
          </w:p>
        </w:tc>
      </w:tr>
      <w:tr w:rsidR="000A14C3" w:rsidRPr="007342B3" w14:paraId="6E8145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491BC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BACC1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34C72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DC813F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B3599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435EB3C6"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60B724" w14:textId="11F5E26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48F393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32388A6" w14:textId="277D929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6.3 is:   </w:t>
            </w:r>
          </w:p>
        </w:tc>
        <w:tc>
          <w:tcPr>
            <w:tcW w:w="1134" w:type="dxa"/>
            <w:gridSpan w:val="2"/>
            <w:tcBorders>
              <w:top w:val="nil"/>
              <w:left w:val="nil"/>
              <w:bottom w:val="nil"/>
              <w:right w:val="nil"/>
            </w:tcBorders>
            <w:shd w:val="clear" w:color="auto" w:fill="00759B" w:themeFill="accent1"/>
            <w:vAlign w:val="center"/>
          </w:tcPr>
          <w:p w14:paraId="253E1A5A"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9815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A85C490"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263300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D2A84B"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38971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5B4257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939388"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8F8EFE"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D5DC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9485D5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BE260"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Assessment must be fair and carried out against clear criteria. The standard expected of students in each area to be assessed must be clear; and students and everyone involved in assessment must be aware of this standard. An appropriate standard-setting process must be used for summative assessments done during the MPharm degree. </w:t>
            </w:r>
          </w:p>
        </w:tc>
      </w:tr>
      <w:tr w:rsidR="000A14C3" w:rsidRPr="007342B3" w14:paraId="0A8D3D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3070C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632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66770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F0C39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8BA030"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725DC6C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C2400" w14:textId="231D2A8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34B2E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2A08629" w14:textId="6E655CC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6.4 is:   </w:t>
            </w:r>
          </w:p>
        </w:tc>
        <w:tc>
          <w:tcPr>
            <w:tcW w:w="1134" w:type="dxa"/>
            <w:gridSpan w:val="2"/>
            <w:tcBorders>
              <w:top w:val="nil"/>
              <w:left w:val="nil"/>
              <w:bottom w:val="nil"/>
              <w:right w:val="nil"/>
            </w:tcBorders>
            <w:shd w:val="clear" w:color="auto" w:fill="00759B" w:themeFill="accent1"/>
            <w:vAlign w:val="center"/>
          </w:tcPr>
          <w:p w14:paraId="334784B9"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35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9BB7F07"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50731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0516D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267868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46CA7E5"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56B924"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8095F04"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8ED420"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18F28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C3187C" w14:textId="77777777" w:rsidR="000A14C3" w:rsidRPr="00ED556F" w:rsidRDefault="000A14C3" w:rsidP="001B7D28">
            <w:pPr>
              <w:pStyle w:val="ListParagraph"/>
              <w:numPr>
                <w:ilvl w:val="1"/>
                <w:numId w:val="20"/>
              </w:numPr>
              <w:ind w:left="567" w:hanging="567"/>
              <w:contextualSpacing w:val="0"/>
              <w:rPr>
                <w:b/>
                <w:bCs/>
              </w:rPr>
            </w:pPr>
            <w:r w:rsidRPr="00ED556F">
              <w:rPr>
                <w:b/>
                <w:bCs/>
              </w:rPr>
              <w:t>Patient safety must always come first, and higher-education institutions</w:t>
            </w:r>
            <w:r w:rsidRPr="00ED556F" w:rsidDel="00D35E4E">
              <w:rPr>
                <w:b/>
                <w:bCs/>
              </w:rPr>
              <w:t xml:space="preserve"> </w:t>
            </w:r>
            <w:r w:rsidRPr="00ED556F">
              <w:rPr>
                <w:b/>
                <w:bCs/>
              </w:rPr>
              <w:t xml:space="preserve">must assess whether a student pharmacist is practising safely. </w:t>
            </w:r>
          </w:p>
        </w:tc>
      </w:tr>
      <w:tr w:rsidR="000A14C3" w:rsidRPr="007342B3" w14:paraId="629E464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C0481F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F9B44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D84B50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7215C6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25E1CDB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2972723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F3B4F9" w14:textId="59DC182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52C57F73"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693DBC8" w14:textId="0BFAC126"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6.5 is:   </w:t>
            </w:r>
          </w:p>
        </w:tc>
        <w:tc>
          <w:tcPr>
            <w:tcW w:w="1134" w:type="dxa"/>
            <w:gridSpan w:val="2"/>
            <w:tcBorders>
              <w:top w:val="nil"/>
              <w:left w:val="nil"/>
              <w:bottom w:val="nil"/>
              <w:right w:val="nil"/>
            </w:tcBorders>
            <w:shd w:val="clear" w:color="auto" w:fill="00759B" w:themeFill="accent1"/>
            <w:vAlign w:val="center"/>
          </w:tcPr>
          <w:p w14:paraId="1163458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332342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86FE70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42154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FF935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88183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2AD94974"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DB733BE"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48FF79"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37DC41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886C4E" w14:paraId="0877464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DBCDEA"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Pass criteria for all assessments must reflect safe and effective practice. </w:t>
            </w:r>
          </w:p>
        </w:tc>
      </w:tr>
      <w:tr w:rsidR="000A14C3" w:rsidRPr="007342B3" w14:paraId="63549B6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2CEE09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8AC47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9EF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6CD31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1EB84DB" w14:textId="77777777" w:rsidR="000A14C3" w:rsidRPr="007342B3" w:rsidRDefault="000A14C3" w:rsidP="000A14C3">
            <w:pPr>
              <w:rPr>
                <w:b/>
                <w:bCs/>
                <w:noProof/>
              </w:rPr>
            </w:pPr>
            <w:r w:rsidRPr="004F533E">
              <w:rPr>
                <w:rFonts w:ascii="Calibri" w:hAnsi="Calibri" w:cs="Calibri"/>
              </w:rPr>
              <w:t>(expand as necessary)</w:t>
            </w:r>
          </w:p>
        </w:tc>
      </w:tr>
      <w:tr w:rsidR="00886C4E" w:rsidRPr="003A473C" w14:paraId="22D352E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94E9A0" w14:textId="05FEE110" w:rsidR="00886C4E"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886C4E" w:rsidRPr="003A473C">
              <w:rPr>
                <w:rFonts w:ascii="Calibri" w:eastAsia="Times New Roman" w:hAnsi="Calibri" w:cs="Calibri"/>
                <w:b/>
                <w:color w:val="FFFFFF" w:themeColor="background1"/>
              </w:rPr>
              <w:t>Accreditation team use only:</w:t>
            </w:r>
          </w:p>
        </w:tc>
      </w:tr>
      <w:tr w:rsidR="00815717" w:rsidRPr="00815717" w:rsidDel="00007E00" w14:paraId="2BED914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202F1A" w14:textId="6ACB851C" w:rsidR="00886C4E" w:rsidRPr="00815717"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6.6 is:   </w:t>
            </w:r>
          </w:p>
        </w:tc>
        <w:tc>
          <w:tcPr>
            <w:tcW w:w="1134" w:type="dxa"/>
            <w:gridSpan w:val="2"/>
            <w:tcBorders>
              <w:top w:val="nil"/>
              <w:left w:val="nil"/>
              <w:bottom w:val="nil"/>
              <w:right w:val="nil"/>
            </w:tcBorders>
            <w:shd w:val="clear" w:color="auto" w:fill="00759B" w:themeFill="accent1"/>
            <w:vAlign w:val="center"/>
          </w:tcPr>
          <w:p w14:paraId="0DBBC15B"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46269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6F5696A"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045470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DA11E7"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20580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86C4E" w:rsidRPr="005F3CFE" w14:paraId="088723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3EB19C6" w14:textId="77777777" w:rsidR="00886C4E" w:rsidRDefault="00886C4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48979E" w14:textId="77777777" w:rsidR="00886C4E" w:rsidRPr="003A473C"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ED8EAB" w14:textId="77777777" w:rsidR="00886C4E" w:rsidRPr="005F3CFE"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BD2EDD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B105"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It must be clear what standard-setting methods are used during the MPharm degree. </w:t>
            </w:r>
          </w:p>
        </w:tc>
      </w:tr>
      <w:tr w:rsidR="000A14C3" w:rsidRPr="007342B3" w14:paraId="1BE41D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5FB804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75644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95105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A0F9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87F58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C32B77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B6BB0E" w14:textId="299BB0A4"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7F8F97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0B43C19" w14:textId="688031C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6.7 is:   </w:t>
            </w:r>
          </w:p>
        </w:tc>
        <w:tc>
          <w:tcPr>
            <w:tcW w:w="1134" w:type="dxa"/>
            <w:gridSpan w:val="2"/>
            <w:tcBorders>
              <w:top w:val="nil"/>
              <w:left w:val="nil"/>
              <w:bottom w:val="nil"/>
              <w:right w:val="nil"/>
            </w:tcBorders>
            <w:shd w:val="clear" w:color="auto" w:fill="00759B" w:themeFill="accent1"/>
            <w:vAlign w:val="center"/>
          </w:tcPr>
          <w:p w14:paraId="2D7260F4"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15815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FE2A4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34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CA819F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44811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9387BD8"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8710D1"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99CD972"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4EDB1C"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BBC0E6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5A6AB2" w14:textId="77777777" w:rsidR="000A14C3" w:rsidRPr="00ED556F" w:rsidRDefault="000A14C3" w:rsidP="001B7D28">
            <w:pPr>
              <w:pStyle w:val="ListParagraph"/>
              <w:numPr>
                <w:ilvl w:val="1"/>
                <w:numId w:val="20"/>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have in place effective management systems to plan, </w:t>
            </w:r>
            <w:proofErr w:type="gramStart"/>
            <w:r w:rsidRPr="00ED556F">
              <w:rPr>
                <w:b/>
                <w:bCs/>
              </w:rPr>
              <w:t>monitor</w:t>
            </w:r>
            <w:proofErr w:type="gramEnd"/>
            <w:r w:rsidRPr="00ED556F">
              <w:rPr>
                <w:b/>
                <w:bCs/>
              </w:rPr>
              <w:t xml:space="preserve"> and record the assessment of students. These must include the monitoring of </w:t>
            </w:r>
            <w:r w:rsidRPr="00ED556F">
              <w:rPr>
                <w:b/>
                <w:bCs/>
              </w:rPr>
              <w:lastRenderedPageBreak/>
              <w:t xml:space="preserve">experiential and inter-professional learning, during the MPharm degree, against each of the learning outcomes. </w:t>
            </w:r>
          </w:p>
        </w:tc>
      </w:tr>
      <w:tr w:rsidR="000A14C3" w:rsidRPr="007342B3" w14:paraId="1A84F90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8224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3B8248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5DEE2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859D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EB360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0122137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6A7548" w14:textId="34ADD298"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53335F4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517A93" w14:textId="416A5F80"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6.8 is:   </w:t>
            </w:r>
          </w:p>
        </w:tc>
        <w:tc>
          <w:tcPr>
            <w:tcW w:w="1134" w:type="dxa"/>
            <w:gridSpan w:val="2"/>
            <w:tcBorders>
              <w:top w:val="nil"/>
              <w:left w:val="nil"/>
              <w:bottom w:val="nil"/>
              <w:right w:val="nil"/>
            </w:tcBorders>
            <w:shd w:val="clear" w:color="auto" w:fill="00759B" w:themeFill="accent1"/>
            <w:vAlign w:val="center"/>
          </w:tcPr>
          <w:p w14:paraId="37D811AD"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31234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72AE8A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96565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2B7BA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1925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00CEDC2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DA132E"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1ED25B"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278D6A2"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6241AF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0AE6B5" w14:textId="77777777" w:rsidR="000A14C3" w:rsidRPr="00ED556F" w:rsidRDefault="000A14C3" w:rsidP="001B7D28">
            <w:pPr>
              <w:pStyle w:val="ListParagraph"/>
              <w:numPr>
                <w:ilvl w:val="1"/>
                <w:numId w:val="20"/>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support students to improve their performance by providing regular and timely feedback and by encouraging students to reflect on their practice. </w:t>
            </w:r>
          </w:p>
        </w:tc>
      </w:tr>
      <w:tr w:rsidR="000A14C3" w:rsidRPr="007342B3" w14:paraId="5B7C18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F4DF1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91F490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0424D7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AA1BA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96D26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056253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5F3A8D" w14:textId="7CCC6CBA"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101DF4C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DD86D8" w14:textId="2DC93CFD"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6.9 is:   </w:t>
            </w:r>
          </w:p>
        </w:tc>
        <w:tc>
          <w:tcPr>
            <w:tcW w:w="1134" w:type="dxa"/>
            <w:gridSpan w:val="2"/>
            <w:tcBorders>
              <w:top w:val="nil"/>
              <w:left w:val="nil"/>
              <w:bottom w:val="nil"/>
              <w:right w:val="nil"/>
            </w:tcBorders>
            <w:shd w:val="clear" w:color="auto" w:fill="00759B" w:themeFill="accent1"/>
            <w:vAlign w:val="center"/>
          </w:tcPr>
          <w:p w14:paraId="548ACF3B"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458609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C3CDE3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731217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254D9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8511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2FF88E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843E07D"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07FAB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2A407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12013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111A06"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Assessment must make use of feedback collected from a variety of sources, which should include other members of the pharmacy team, peers, patients, and supervisors. </w:t>
            </w:r>
          </w:p>
        </w:tc>
      </w:tr>
      <w:tr w:rsidR="000A14C3" w:rsidRPr="007342B3" w14:paraId="59F946E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91308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FEEC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C8AA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443A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84C7F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60233D6F"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1D967E" w14:textId="1894EAE5"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E5CEB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F8A71D" w14:textId="0D81C24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6.10 is:   </w:t>
            </w:r>
          </w:p>
        </w:tc>
        <w:tc>
          <w:tcPr>
            <w:tcW w:w="1134" w:type="dxa"/>
            <w:gridSpan w:val="2"/>
            <w:tcBorders>
              <w:top w:val="nil"/>
              <w:left w:val="nil"/>
              <w:bottom w:val="nil"/>
              <w:right w:val="nil"/>
            </w:tcBorders>
            <w:shd w:val="clear" w:color="auto" w:fill="00759B" w:themeFill="accent1"/>
            <w:vAlign w:val="center"/>
          </w:tcPr>
          <w:p w14:paraId="582FCA9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948415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C7AFE0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24272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F6AB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41558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52CF6A9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DC680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3ACD5E"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1E53FD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86997C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180AF8"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Examiners and assessors must have the appropriate skills, </w:t>
            </w:r>
            <w:proofErr w:type="gramStart"/>
            <w:r w:rsidRPr="00ED556F">
              <w:rPr>
                <w:b/>
                <w:bCs/>
              </w:rPr>
              <w:t>experience</w:t>
            </w:r>
            <w:proofErr w:type="gramEnd"/>
            <w:r w:rsidRPr="00ED556F">
              <w:rPr>
                <w:b/>
                <w:bCs/>
              </w:rPr>
              <w:t xml:space="preserve"> and training to carry out the task of assessment. </w:t>
            </w:r>
          </w:p>
        </w:tc>
      </w:tr>
      <w:tr w:rsidR="000A14C3" w:rsidRPr="007342B3" w14:paraId="2FCF8F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5F04BF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E9E1B3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285FAF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8F8EF1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F8B1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294466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0BD8B43" w14:textId="0BCAB492"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E09D2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5DDF0B" w14:textId="3C5554E5"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6.11 is:   </w:t>
            </w:r>
          </w:p>
        </w:tc>
        <w:tc>
          <w:tcPr>
            <w:tcW w:w="1134" w:type="dxa"/>
            <w:gridSpan w:val="2"/>
            <w:tcBorders>
              <w:top w:val="nil"/>
              <w:left w:val="nil"/>
              <w:bottom w:val="nil"/>
              <w:right w:val="nil"/>
            </w:tcBorders>
            <w:shd w:val="clear" w:color="auto" w:fill="00759B" w:themeFill="accent1"/>
            <w:vAlign w:val="center"/>
          </w:tcPr>
          <w:p w14:paraId="55428C2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354504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068D6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55867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6A8F5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34758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71FD8CCB"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F06B0A"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7470F6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C27128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A2218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B950A0" w14:textId="77777777" w:rsidR="000A14C3" w:rsidRPr="00ED556F" w:rsidRDefault="000A14C3" w:rsidP="001B7D28">
            <w:pPr>
              <w:pStyle w:val="ListParagraph"/>
              <w:numPr>
                <w:ilvl w:val="1"/>
                <w:numId w:val="20"/>
              </w:numPr>
              <w:spacing w:after="0"/>
              <w:ind w:left="567" w:hanging="567"/>
              <w:contextualSpacing w:val="0"/>
              <w:rPr>
                <w:b/>
                <w:bCs/>
              </w:rPr>
            </w:pPr>
            <w:r w:rsidRPr="00ED556F">
              <w:rPr>
                <w:b/>
                <w:bCs/>
              </w:rPr>
              <w:t xml:space="preserve">Higher-education institutions must ask external examiners to report every year on the extent to which assessment processes: </w:t>
            </w:r>
          </w:p>
          <w:p w14:paraId="7256CDA2" w14:textId="77777777" w:rsidR="000A14C3" w:rsidRPr="00ED556F" w:rsidRDefault="000A14C3" w:rsidP="001B7D28">
            <w:pPr>
              <w:numPr>
                <w:ilvl w:val="1"/>
                <w:numId w:val="23"/>
              </w:numPr>
              <w:spacing w:after="0"/>
              <w:rPr>
                <w:b/>
                <w:bCs/>
              </w:rPr>
            </w:pPr>
            <w:r w:rsidRPr="00ED556F">
              <w:rPr>
                <w:b/>
                <w:bCs/>
              </w:rPr>
              <w:t xml:space="preserve">are rigorous </w:t>
            </w:r>
          </w:p>
          <w:p w14:paraId="071BB2F2" w14:textId="77777777" w:rsidR="000A14C3" w:rsidRPr="00ED556F" w:rsidRDefault="000A14C3" w:rsidP="001B7D28">
            <w:pPr>
              <w:numPr>
                <w:ilvl w:val="1"/>
                <w:numId w:val="23"/>
              </w:numPr>
              <w:spacing w:after="0"/>
              <w:rPr>
                <w:b/>
                <w:bCs/>
              </w:rPr>
            </w:pPr>
            <w:r w:rsidRPr="00ED556F">
              <w:rPr>
                <w:b/>
                <w:bCs/>
              </w:rPr>
              <w:t xml:space="preserve">are set at the correct standard </w:t>
            </w:r>
          </w:p>
          <w:p w14:paraId="4CACA164" w14:textId="77777777" w:rsidR="000A14C3" w:rsidRPr="00ED556F" w:rsidRDefault="000A14C3" w:rsidP="001B7D28">
            <w:pPr>
              <w:numPr>
                <w:ilvl w:val="1"/>
                <w:numId w:val="23"/>
              </w:numPr>
              <w:spacing w:after="0"/>
              <w:rPr>
                <w:b/>
                <w:bCs/>
              </w:rPr>
            </w:pPr>
            <w:r w:rsidRPr="00ED556F">
              <w:rPr>
                <w:b/>
                <w:bCs/>
              </w:rPr>
              <w:t xml:space="preserve">ensure equity of treatment for students, and </w:t>
            </w:r>
          </w:p>
          <w:p w14:paraId="15B84B01" w14:textId="77777777" w:rsidR="000A14C3" w:rsidRPr="00ED556F" w:rsidRDefault="000A14C3" w:rsidP="001B7D28">
            <w:pPr>
              <w:numPr>
                <w:ilvl w:val="1"/>
                <w:numId w:val="23"/>
              </w:numPr>
              <w:spacing w:after="0"/>
              <w:rPr>
                <w:b/>
                <w:bCs/>
              </w:rPr>
            </w:pPr>
            <w:r w:rsidRPr="00ED556F">
              <w:rPr>
                <w:b/>
                <w:bCs/>
              </w:rPr>
              <w:t xml:space="preserve">have been fairly conducted </w:t>
            </w:r>
          </w:p>
        </w:tc>
      </w:tr>
      <w:tr w:rsidR="000A14C3" w:rsidRPr="007342B3" w14:paraId="6319783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90E828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B34D5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AACE9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C40B2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ED065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BB366D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28EA5A" w14:textId="14D27181"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1D372F8"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C7D58BE" w14:textId="7C23927E"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6.12 is:   </w:t>
            </w:r>
          </w:p>
        </w:tc>
        <w:tc>
          <w:tcPr>
            <w:tcW w:w="1134" w:type="dxa"/>
            <w:gridSpan w:val="2"/>
            <w:tcBorders>
              <w:top w:val="nil"/>
              <w:left w:val="nil"/>
              <w:bottom w:val="nil"/>
              <w:right w:val="nil"/>
            </w:tcBorders>
            <w:shd w:val="clear" w:color="auto" w:fill="00759B" w:themeFill="accent1"/>
            <w:vAlign w:val="center"/>
          </w:tcPr>
          <w:p w14:paraId="2FC2368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94901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B3D50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97693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FF650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206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7E2766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7EE5B2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2ABBF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8797DF8"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7A638C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E2304B" w14:textId="77777777" w:rsidR="000A14C3" w:rsidRPr="00ED556F" w:rsidRDefault="000A14C3" w:rsidP="001B7D28">
            <w:pPr>
              <w:pStyle w:val="ListParagraph"/>
              <w:numPr>
                <w:ilvl w:val="1"/>
                <w:numId w:val="20"/>
              </w:numPr>
              <w:ind w:left="567" w:hanging="567"/>
              <w:contextualSpacing w:val="0"/>
              <w:rPr>
                <w:b/>
                <w:bCs/>
              </w:rPr>
            </w:pPr>
            <w:r w:rsidRPr="00ED556F">
              <w:rPr>
                <w:b/>
                <w:bCs/>
              </w:rPr>
              <w:t>The responsibilities of the external examiners must be clearly documented.</w:t>
            </w:r>
          </w:p>
        </w:tc>
      </w:tr>
      <w:tr w:rsidR="000A14C3" w:rsidRPr="007342B3" w14:paraId="66F3BB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87FB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591965A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5E8CE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4FE80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084851F" w14:textId="77777777" w:rsidR="000A14C3" w:rsidRPr="007342B3" w:rsidRDefault="000A14C3" w:rsidP="000A14C3">
            <w:pPr>
              <w:rPr>
                <w:b/>
                <w:bCs/>
                <w:noProof/>
              </w:rPr>
            </w:pPr>
            <w:r w:rsidRPr="004F533E">
              <w:rPr>
                <w:rFonts w:ascii="Calibri" w:hAnsi="Calibri" w:cs="Calibri"/>
              </w:rPr>
              <w:t>(expand as necessary)</w:t>
            </w:r>
          </w:p>
        </w:tc>
      </w:tr>
      <w:tr w:rsidR="00F969A6" w:rsidRPr="00815717" w14:paraId="70E1A9A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88A63" w14:textId="5A1E8B5C" w:rsidR="00F969A6" w:rsidRPr="00815717"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815717">
              <w:rPr>
                <w:rFonts w:ascii="Calibri" w:eastAsia="Times New Roman" w:hAnsi="Calibri" w:cs="Calibri"/>
                <w:b/>
                <w:color w:val="FFFFFF" w:themeColor="background1"/>
              </w:rPr>
              <w:t xml:space="preserve"> </w:t>
            </w:r>
            <w:r w:rsidR="00F969A6" w:rsidRPr="00815717">
              <w:rPr>
                <w:rFonts w:ascii="Calibri" w:eastAsia="Times New Roman" w:hAnsi="Calibri" w:cs="Calibri"/>
                <w:b/>
                <w:color w:val="FFFFFF" w:themeColor="background1"/>
              </w:rPr>
              <w:t>Accreditation team use only:</w:t>
            </w:r>
          </w:p>
        </w:tc>
      </w:tr>
      <w:tr w:rsidR="00815717" w:rsidRPr="00815717" w:rsidDel="00007E00" w14:paraId="0CFF0346"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C35E2D4" w14:textId="6382EADC"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6.13 is:   </w:t>
            </w:r>
          </w:p>
        </w:tc>
        <w:tc>
          <w:tcPr>
            <w:tcW w:w="1134" w:type="dxa"/>
            <w:gridSpan w:val="2"/>
            <w:tcBorders>
              <w:top w:val="nil"/>
              <w:left w:val="nil"/>
              <w:bottom w:val="nil"/>
              <w:right w:val="nil"/>
            </w:tcBorders>
            <w:shd w:val="clear" w:color="auto" w:fill="00759B" w:themeFill="accent1"/>
            <w:vAlign w:val="center"/>
          </w:tcPr>
          <w:p w14:paraId="5A4BA85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90015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8717A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485186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A45FE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44582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F39514A"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E2D415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2F6C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B5BE3A7"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6B44F0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5DA6728" w14:textId="77777777" w:rsidR="000A14C3" w:rsidRPr="00ED556F" w:rsidRDefault="000A14C3" w:rsidP="001B7D28">
            <w:pPr>
              <w:pStyle w:val="ListParagraph"/>
              <w:numPr>
                <w:ilvl w:val="1"/>
                <w:numId w:val="20"/>
              </w:numPr>
              <w:ind w:left="567" w:hanging="567"/>
              <w:contextualSpacing w:val="0"/>
              <w:rPr>
                <w:b/>
                <w:bCs/>
              </w:rPr>
            </w:pPr>
            <w:r w:rsidRPr="00ED556F">
              <w:rPr>
                <w:b/>
                <w:bCs/>
              </w:rPr>
              <w:t xml:space="preserve">Assessment regulations must be appropriate for MPharm degrees that lead to professional registration. That is, they must prioritise professionalism, patient safety, and safe and effective practice. </w:t>
            </w:r>
          </w:p>
        </w:tc>
      </w:tr>
      <w:tr w:rsidR="000A14C3" w:rsidRPr="007342B3" w14:paraId="1791278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E49D11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0E6FC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90DF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4A16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3BB4BB"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574DC12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B67907" w14:textId="11CB6E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0588D7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CF7FD89" w14:textId="2588D207"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6.14 is:   </w:t>
            </w:r>
          </w:p>
        </w:tc>
        <w:tc>
          <w:tcPr>
            <w:tcW w:w="1134" w:type="dxa"/>
            <w:gridSpan w:val="2"/>
            <w:tcBorders>
              <w:top w:val="nil"/>
              <w:left w:val="nil"/>
              <w:bottom w:val="nil"/>
              <w:right w:val="nil"/>
            </w:tcBorders>
            <w:shd w:val="clear" w:color="auto" w:fill="00759B" w:themeFill="accent1"/>
            <w:vAlign w:val="center"/>
          </w:tcPr>
          <w:p w14:paraId="30C66117"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3547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5876D8C"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3684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782648E"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551060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4B99152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0385EC2"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D97FF5C"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2C3FD1"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53C547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40D8263" w14:textId="322B88E8" w:rsidR="000A14C3" w:rsidRPr="0048377E" w:rsidRDefault="000A14C3" w:rsidP="0048377E">
            <w:pPr>
              <w:pStyle w:val="Heading2"/>
              <w:rPr>
                <w:color w:val="FFFFFF" w:themeColor="background1"/>
              </w:rPr>
            </w:pPr>
            <w:bookmarkStart w:id="31" w:name="_Toc92960554"/>
            <w:r w:rsidRPr="0048377E">
              <w:rPr>
                <w:color w:val="FFFFFF" w:themeColor="background1"/>
              </w:rPr>
              <w:t>Standard 7: Support and development for student pharmacists and everyone involved in the delivery of the MPharm degree</w:t>
            </w:r>
            <w:bookmarkEnd w:id="31"/>
            <w:r w:rsidRPr="0048377E">
              <w:rPr>
                <w:color w:val="FFFFFF" w:themeColor="background1"/>
              </w:rPr>
              <w:t xml:space="preserve"> </w:t>
            </w:r>
          </w:p>
          <w:p w14:paraId="754FFAA9" w14:textId="77777777" w:rsidR="000A14C3" w:rsidRPr="00182658" w:rsidRDefault="000A14C3" w:rsidP="000A14C3">
            <w:pPr>
              <w:rPr>
                <w:b/>
                <w:bCs/>
                <w:color w:val="FFFFFF" w:themeColor="background1"/>
              </w:rPr>
            </w:pPr>
            <w:r w:rsidRPr="00182658">
              <w:rPr>
                <w:b/>
                <w:bCs/>
                <w:color w:val="FFFFFF" w:themeColor="background1"/>
              </w:rPr>
              <w:t xml:space="preserve">Student pharmacists must be supported in all learning and training environments to develop as learners and professionals during their MPharm degrees </w:t>
            </w:r>
          </w:p>
          <w:p w14:paraId="1850186A" w14:textId="77777777" w:rsidR="000A14C3" w:rsidRPr="007342B3" w:rsidRDefault="000A14C3" w:rsidP="000A14C3">
            <w:pPr>
              <w:rPr>
                <w:b/>
                <w:bCs/>
                <w:color w:val="FFFFFF" w:themeColor="background1"/>
              </w:rPr>
            </w:pPr>
            <w:r w:rsidRPr="00182658">
              <w:rPr>
                <w:b/>
                <w:bCs/>
                <w:color w:val="FFFFFF" w:themeColor="background1"/>
              </w:rPr>
              <w:t>Everyone involved in the delivery of the MPharm degree should be supported to develop in their professional role</w:t>
            </w:r>
          </w:p>
        </w:tc>
      </w:tr>
      <w:tr w:rsidR="00F969A6" w:rsidRPr="003A473C" w:rsidDel="00007E00" w14:paraId="56BC995D" w14:textId="77777777" w:rsidTr="009F49EE">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4B11D37C" w14:textId="02C4AF30"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7</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5EB1EE2"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84008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80C679F"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33018563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EEFF5FB"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F969A6" w14:paraId="4007C5C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52451A1E" w14:textId="77777777" w:rsidR="000A14C3" w:rsidRPr="00ED556F" w:rsidRDefault="000A14C3" w:rsidP="000A14C3">
            <w:pPr>
              <w:pStyle w:val="Heading5"/>
              <w:rPr>
                <w:b w:val="0"/>
                <w:bCs/>
              </w:rPr>
            </w:pPr>
            <w:r w:rsidRPr="00ED556F">
              <w:rPr>
                <w:b w:val="0"/>
                <w:bCs/>
              </w:rPr>
              <w:t>Support for student pharmacists</w:t>
            </w:r>
          </w:p>
        </w:tc>
      </w:tr>
      <w:tr w:rsidR="000A14C3" w:rsidRPr="00F969A6" w14:paraId="1ACA1D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3BCEDF" w14:textId="77777777" w:rsidR="000A14C3" w:rsidRPr="00ED556F" w:rsidRDefault="000A14C3" w:rsidP="001B7D28">
            <w:pPr>
              <w:pStyle w:val="ListParagraph"/>
              <w:numPr>
                <w:ilvl w:val="1"/>
                <w:numId w:val="24"/>
              </w:numPr>
              <w:spacing w:after="0"/>
              <w:ind w:left="567" w:hanging="567"/>
              <w:rPr>
                <w:b/>
              </w:rPr>
            </w:pPr>
            <w:r w:rsidRPr="00ED556F">
              <w:rPr>
                <w:b/>
              </w:rPr>
              <w:t xml:space="preserve">There must be a range of systems in place during the MPharm degree to identify the support needed by students, and to support them to achieve the outcomes in part 1 of these </w:t>
            </w:r>
            <w:r w:rsidRPr="00ED556F">
              <w:rPr>
                <w:b/>
              </w:rPr>
              <w:lastRenderedPageBreak/>
              <w:t>standards. They must be based on a student’s prior achievement and be tailored to them. Systems must include:</w:t>
            </w:r>
          </w:p>
          <w:p w14:paraId="627BF77C" w14:textId="77777777" w:rsidR="000A14C3" w:rsidRPr="00ED556F" w:rsidRDefault="000A14C3" w:rsidP="001B7D28">
            <w:pPr>
              <w:numPr>
                <w:ilvl w:val="1"/>
                <w:numId w:val="25"/>
              </w:numPr>
              <w:spacing w:after="0"/>
              <w:rPr>
                <w:b/>
              </w:rPr>
            </w:pPr>
            <w:r w:rsidRPr="00ED556F">
              <w:rPr>
                <w:b/>
              </w:rPr>
              <w:t>induction</w:t>
            </w:r>
          </w:p>
          <w:p w14:paraId="48D22BE9" w14:textId="77777777" w:rsidR="000A14C3" w:rsidRPr="00ED556F" w:rsidRDefault="000A14C3" w:rsidP="001B7D28">
            <w:pPr>
              <w:numPr>
                <w:ilvl w:val="1"/>
                <w:numId w:val="25"/>
              </w:numPr>
              <w:spacing w:after="0"/>
              <w:rPr>
                <w:b/>
              </w:rPr>
            </w:pPr>
            <w:r w:rsidRPr="00ED556F">
              <w:rPr>
                <w:b/>
              </w:rPr>
              <w:t>effective supervision</w:t>
            </w:r>
          </w:p>
          <w:p w14:paraId="41EB57A5" w14:textId="77777777" w:rsidR="000A14C3" w:rsidRPr="00ED556F" w:rsidRDefault="000A14C3" w:rsidP="001B7D28">
            <w:pPr>
              <w:numPr>
                <w:ilvl w:val="1"/>
                <w:numId w:val="25"/>
              </w:numPr>
              <w:spacing w:after="0"/>
              <w:rPr>
                <w:b/>
              </w:rPr>
            </w:pPr>
            <w:r w:rsidRPr="00ED556F">
              <w:rPr>
                <w:b/>
              </w:rPr>
              <w:t>an appropriate and realistic workload</w:t>
            </w:r>
          </w:p>
          <w:p w14:paraId="7C8E3226" w14:textId="77777777" w:rsidR="000A14C3" w:rsidRPr="00ED556F" w:rsidRDefault="000A14C3" w:rsidP="001B7D28">
            <w:pPr>
              <w:numPr>
                <w:ilvl w:val="1"/>
                <w:numId w:val="25"/>
              </w:numPr>
              <w:spacing w:after="0"/>
              <w:rPr>
                <w:b/>
              </w:rPr>
            </w:pPr>
            <w:r w:rsidRPr="00ED556F">
              <w:rPr>
                <w:b/>
              </w:rPr>
              <w:t>personal, study skills and academic support</w:t>
            </w:r>
          </w:p>
          <w:p w14:paraId="7626DA81" w14:textId="77777777" w:rsidR="000A14C3" w:rsidRPr="00ED556F" w:rsidRDefault="000A14C3" w:rsidP="001B7D28">
            <w:pPr>
              <w:numPr>
                <w:ilvl w:val="1"/>
                <w:numId w:val="25"/>
              </w:numPr>
              <w:spacing w:after="0"/>
              <w:rPr>
                <w:b/>
              </w:rPr>
            </w:pPr>
            <w:r w:rsidRPr="00ED556F">
              <w:rPr>
                <w:b/>
              </w:rPr>
              <w:t>time to learn</w:t>
            </w:r>
          </w:p>
          <w:p w14:paraId="4B998D0F" w14:textId="77777777" w:rsidR="000A14C3" w:rsidRPr="00ED556F" w:rsidRDefault="000A14C3" w:rsidP="001B7D28">
            <w:pPr>
              <w:numPr>
                <w:ilvl w:val="1"/>
                <w:numId w:val="25"/>
              </w:numPr>
              <w:spacing w:after="0"/>
              <w:rPr>
                <w:b/>
              </w:rPr>
            </w:pPr>
            <w:r w:rsidRPr="00ED556F">
              <w:rPr>
                <w:b/>
              </w:rPr>
              <w:t>access to resources, and</w:t>
            </w:r>
          </w:p>
          <w:p w14:paraId="5CC55E93" w14:textId="77777777" w:rsidR="000A14C3" w:rsidRPr="00ED556F" w:rsidRDefault="000A14C3" w:rsidP="001B7D28">
            <w:pPr>
              <w:numPr>
                <w:ilvl w:val="1"/>
                <w:numId w:val="25"/>
              </w:numPr>
              <w:spacing w:after="0"/>
              <w:rPr>
                <w:b/>
              </w:rPr>
            </w:pPr>
            <w:r w:rsidRPr="00ED556F">
              <w:rPr>
                <w:b/>
              </w:rPr>
              <w:t>remediation, if needed</w:t>
            </w:r>
          </w:p>
        </w:tc>
      </w:tr>
      <w:tr w:rsidR="000A14C3" w:rsidRPr="007342B3" w14:paraId="6F8F8A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D4A10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3633084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23BA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4658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B14ACE"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24FC0479"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6FDE30C" w14:textId="6833BB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6529BF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4469E0" w14:textId="6F025E84"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7.1 is:   </w:t>
            </w:r>
          </w:p>
        </w:tc>
        <w:tc>
          <w:tcPr>
            <w:tcW w:w="1134" w:type="dxa"/>
            <w:gridSpan w:val="2"/>
            <w:tcBorders>
              <w:top w:val="nil"/>
              <w:left w:val="nil"/>
              <w:bottom w:val="nil"/>
              <w:right w:val="nil"/>
            </w:tcBorders>
            <w:shd w:val="clear" w:color="auto" w:fill="00759B" w:themeFill="accent1"/>
            <w:vAlign w:val="center"/>
          </w:tcPr>
          <w:p w14:paraId="229EA10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517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9342C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2009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74EA7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44753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32BF09D9"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A36EF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8D3E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9D332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4E0ED41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E397A20" w14:textId="77777777" w:rsidR="000A14C3" w:rsidRPr="00ED556F" w:rsidRDefault="000A14C3" w:rsidP="001B7D28">
            <w:pPr>
              <w:pStyle w:val="ListParagraph"/>
              <w:numPr>
                <w:ilvl w:val="1"/>
                <w:numId w:val="24"/>
              </w:numPr>
              <w:ind w:left="567" w:hanging="567"/>
              <w:rPr>
                <w:b/>
                <w:bCs/>
              </w:rPr>
            </w:pPr>
            <w:r w:rsidRPr="00ED556F">
              <w:rPr>
                <w:b/>
                <w:bCs/>
              </w:rPr>
              <w:t xml:space="preserve">Student pharmacists must have support available to them covering academic, general welfare and career advice. </w:t>
            </w:r>
          </w:p>
        </w:tc>
      </w:tr>
      <w:tr w:rsidR="000A14C3" w:rsidRPr="007342B3" w14:paraId="6AEA9A1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9EB9EF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3D77E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2E29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F021A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491656"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54ED64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72BC5C4" w14:textId="49D9F44D"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1B43AEF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C7E6496" w14:textId="55916BD1"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7.2 is:   </w:t>
            </w:r>
          </w:p>
        </w:tc>
        <w:tc>
          <w:tcPr>
            <w:tcW w:w="1134" w:type="dxa"/>
            <w:gridSpan w:val="2"/>
            <w:tcBorders>
              <w:top w:val="nil"/>
              <w:left w:val="nil"/>
              <w:bottom w:val="nil"/>
              <w:right w:val="nil"/>
            </w:tcBorders>
            <w:shd w:val="clear" w:color="auto" w:fill="00759B" w:themeFill="accent1"/>
            <w:vAlign w:val="center"/>
          </w:tcPr>
          <w:p w14:paraId="17E5BAB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19766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337D6DD"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06135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3ACFD2"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922008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4F8605D1"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E9B0C93"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3E1FA4"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50D848"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044850C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40C813" w14:textId="77777777" w:rsidR="000A14C3" w:rsidRPr="00ED556F" w:rsidRDefault="000A14C3" w:rsidP="001B7D28">
            <w:pPr>
              <w:pStyle w:val="ListParagraph"/>
              <w:numPr>
                <w:ilvl w:val="1"/>
                <w:numId w:val="24"/>
              </w:numPr>
              <w:spacing w:after="80"/>
              <w:ind w:left="567" w:hanging="567"/>
              <w:contextualSpacing w:val="0"/>
              <w:rPr>
                <w:b/>
                <w:bCs/>
              </w:rPr>
            </w:pPr>
            <w:r w:rsidRPr="00ED556F">
              <w:rPr>
                <w:b/>
                <w:bCs/>
              </w:rPr>
              <w:t>Student pharmacists must have access to pharmacy professionals who are able to act as role models and mentors, giving professional support and guidance.</w:t>
            </w:r>
          </w:p>
        </w:tc>
      </w:tr>
      <w:tr w:rsidR="000A14C3" w:rsidRPr="007342B3" w14:paraId="7B922FF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4FADE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CCF0E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E6FC65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5118F1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FEBC7F"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76721E53"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F5B01E" w14:textId="2249DEF1"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4DF22B0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025589" w14:textId="24E79753"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7.3 is:   </w:t>
            </w:r>
          </w:p>
        </w:tc>
        <w:tc>
          <w:tcPr>
            <w:tcW w:w="1134" w:type="dxa"/>
            <w:gridSpan w:val="2"/>
            <w:tcBorders>
              <w:top w:val="nil"/>
              <w:left w:val="nil"/>
              <w:bottom w:val="nil"/>
              <w:right w:val="nil"/>
            </w:tcBorders>
            <w:shd w:val="clear" w:color="auto" w:fill="00759B" w:themeFill="accent1"/>
            <w:vAlign w:val="center"/>
          </w:tcPr>
          <w:p w14:paraId="5B981427"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062494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49FC8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49732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9912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41355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60A5D36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68BB26"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2E08F52"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BE739E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532B98D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27C134" w14:textId="77777777" w:rsidR="000A14C3" w:rsidRPr="00ED556F" w:rsidRDefault="000A14C3" w:rsidP="001B7D28">
            <w:pPr>
              <w:pStyle w:val="ListParagraph"/>
              <w:numPr>
                <w:ilvl w:val="1"/>
                <w:numId w:val="24"/>
              </w:numPr>
              <w:spacing w:after="80"/>
              <w:ind w:left="567" w:hanging="567"/>
              <w:contextualSpacing w:val="0"/>
              <w:rPr>
                <w:b/>
                <w:bCs/>
              </w:rPr>
            </w:pPr>
            <w:r w:rsidRPr="00ED556F">
              <w:rPr>
                <w:b/>
                <w:bCs/>
              </w:rPr>
              <w:t xml:space="preserve">There must be clear procedures for student pharmacists to raise concerns. Any concerns must be dealt with promptly, with documented action taken where appropriate. </w:t>
            </w:r>
          </w:p>
        </w:tc>
      </w:tr>
      <w:tr w:rsidR="000A14C3" w:rsidRPr="007342B3" w14:paraId="5CF2E2F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A927B3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8DDF6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DC00D8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BD45E0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D28AFF3"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3531C6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24C2D4" w14:textId="64C913DA"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022B148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6747526" w14:textId="3919429D"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7.4 is:   </w:t>
            </w:r>
          </w:p>
        </w:tc>
        <w:tc>
          <w:tcPr>
            <w:tcW w:w="1134" w:type="dxa"/>
            <w:gridSpan w:val="2"/>
            <w:tcBorders>
              <w:top w:val="nil"/>
              <w:left w:val="nil"/>
              <w:bottom w:val="nil"/>
              <w:right w:val="nil"/>
            </w:tcBorders>
            <w:shd w:val="clear" w:color="auto" w:fill="00759B" w:themeFill="accent1"/>
            <w:vAlign w:val="center"/>
          </w:tcPr>
          <w:p w14:paraId="1CBF30B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049872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DBB8968"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223762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9340D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0290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032B30F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BE6CA2"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5A5F8B"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101611"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218BA61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330352C9" w14:textId="77777777" w:rsidR="000A14C3" w:rsidRPr="00ED556F" w:rsidRDefault="000A14C3" w:rsidP="000A14C3">
            <w:pPr>
              <w:pStyle w:val="Heading5"/>
              <w:rPr>
                <w:b w:val="0"/>
                <w:bCs/>
              </w:rPr>
            </w:pPr>
            <w:r w:rsidRPr="00ED556F">
              <w:rPr>
                <w:b w:val="0"/>
                <w:bCs/>
              </w:rPr>
              <w:t>Support for everyone involved in the delivery of the MPharm degree</w:t>
            </w:r>
          </w:p>
        </w:tc>
      </w:tr>
      <w:tr w:rsidR="000A14C3" w:rsidRPr="00671ED1" w14:paraId="1FF221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6F7542" w14:textId="77777777" w:rsidR="000A14C3" w:rsidRPr="00ED556F" w:rsidRDefault="000A14C3" w:rsidP="001B7D28">
            <w:pPr>
              <w:pStyle w:val="ListParagraph"/>
              <w:numPr>
                <w:ilvl w:val="1"/>
                <w:numId w:val="24"/>
              </w:numPr>
              <w:spacing w:after="80"/>
              <w:ind w:left="567" w:hanging="567"/>
              <w:contextualSpacing w:val="0"/>
              <w:rPr>
                <w:b/>
              </w:rPr>
            </w:pPr>
            <w:r w:rsidRPr="00ED556F">
              <w:rPr>
                <w:b/>
              </w:rPr>
              <w:t xml:space="preserve">There must be a range of systems in place to support everyone involved in the delivery of the MPharm degree to develop in their professional role. </w:t>
            </w:r>
          </w:p>
        </w:tc>
      </w:tr>
      <w:tr w:rsidR="000A14C3" w:rsidRPr="007342B3" w14:paraId="4A7D3E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F9C0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11DA9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2FC8E9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DF794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5AAFB"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27C5F5CA"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BEA4D3" w14:textId="036F1EB0" w:rsidR="00671ED1"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DB1F5D" w:rsidRPr="00DB1F5D" w:rsidDel="00007E00" w14:paraId="4809B0C8"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07316A1" w14:textId="17A23F79" w:rsidR="00671ED1" w:rsidRPr="00DB1F5D"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7.5 is:   </w:t>
            </w:r>
          </w:p>
        </w:tc>
        <w:tc>
          <w:tcPr>
            <w:tcW w:w="1134" w:type="dxa"/>
            <w:gridSpan w:val="2"/>
            <w:tcBorders>
              <w:top w:val="nil"/>
              <w:left w:val="nil"/>
              <w:bottom w:val="nil"/>
              <w:right w:val="nil"/>
            </w:tcBorders>
            <w:shd w:val="clear" w:color="auto" w:fill="00759B" w:themeFill="accent1"/>
            <w:vAlign w:val="center"/>
          </w:tcPr>
          <w:p w14:paraId="0A380CF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98515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54FCC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138910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720A8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567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2C29BA7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CFD228"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DBE18C7"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C978B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0A14C3" w:rsidRPr="009F49EE" w14:paraId="3037577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5684F4" w14:textId="77777777" w:rsidR="000A14C3" w:rsidRPr="00ED556F" w:rsidRDefault="000A14C3" w:rsidP="001B7D28">
            <w:pPr>
              <w:pStyle w:val="ListParagraph"/>
              <w:numPr>
                <w:ilvl w:val="1"/>
                <w:numId w:val="24"/>
              </w:numPr>
              <w:spacing w:after="80"/>
              <w:ind w:left="567" w:hanging="567"/>
              <w:contextualSpacing w:val="0"/>
              <w:rPr>
                <w:b/>
                <w:bCs/>
              </w:rPr>
            </w:pPr>
            <w:r w:rsidRPr="00ED556F">
              <w:rPr>
                <w:b/>
                <w:bCs/>
              </w:rPr>
              <w:lastRenderedPageBreak/>
              <w:t xml:space="preserve">Training must be provided for everyone involved in the delivery of the MPharm degree. </w:t>
            </w:r>
          </w:p>
        </w:tc>
      </w:tr>
      <w:tr w:rsidR="000A14C3" w:rsidRPr="007342B3" w14:paraId="22D7576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2232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F8A8B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6DB8F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5CD9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3EF7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06D6C98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08ACB8" w14:textId="255C1D69"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633D93D3"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FD890B" w14:textId="240F7D19"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7.6 is:   </w:t>
            </w:r>
          </w:p>
        </w:tc>
        <w:tc>
          <w:tcPr>
            <w:tcW w:w="1134" w:type="dxa"/>
            <w:gridSpan w:val="2"/>
            <w:tcBorders>
              <w:top w:val="nil"/>
              <w:left w:val="nil"/>
              <w:bottom w:val="nil"/>
              <w:right w:val="nil"/>
            </w:tcBorders>
            <w:shd w:val="clear" w:color="auto" w:fill="00759B" w:themeFill="accent1"/>
            <w:vAlign w:val="center"/>
          </w:tcPr>
          <w:p w14:paraId="317F5EC3"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030617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632ABD"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303483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D6B94F0"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533854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4EE3548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5D0149"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071C1F"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6CE997E"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523689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9353BF" w14:textId="77777777" w:rsidR="000A14C3" w:rsidRPr="00ED556F" w:rsidRDefault="000A14C3" w:rsidP="001B7D28">
            <w:pPr>
              <w:pStyle w:val="ListParagraph"/>
              <w:numPr>
                <w:ilvl w:val="1"/>
                <w:numId w:val="24"/>
              </w:numPr>
              <w:spacing w:after="0"/>
              <w:ind w:left="567" w:hanging="567"/>
              <w:contextualSpacing w:val="0"/>
              <w:rPr>
                <w:b/>
                <w:bCs/>
              </w:rPr>
            </w:pPr>
            <w:r w:rsidRPr="00ED556F">
              <w:rPr>
                <w:b/>
                <w:bCs/>
              </w:rPr>
              <w:t xml:space="preserve">Everyone involved in the delivery of the MPharm degree must have: </w:t>
            </w:r>
          </w:p>
          <w:p w14:paraId="16007EF6" w14:textId="77777777" w:rsidR="000A14C3" w:rsidRPr="00ED556F" w:rsidRDefault="000A14C3" w:rsidP="001B7D28">
            <w:pPr>
              <w:numPr>
                <w:ilvl w:val="1"/>
                <w:numId w:val="26"/>
              </w:numPr>
              <w:spacing w:after="0"/>
              <w:rPr>
                <w:b/>
                <w:bCs/>
              </w:rPr>
            </w:pPr>
            <w:r w:rsidRPr="00ED556F">
              <w:rPr>
                <w:b/>
                <w:bCs/>
              </w:rPr>
              <w:t xml:space="preserve">effective supervision </w:t>
            </w:r>
          </w:p>
          <w:p w14:paraId="2C135C2A" w14:textId="77777777" w:rsidR="000A14C3" w:rsidRPr="00ED556F" w:rsidRDefault="000A14C3" w:rsidP="001B7D28">
            <w:pPr>
              <w:numPr>
                <w:ilvl w:val="1"/>
                <w:numId w:val="26"/>
              </w:numPr>
              <w:spacing w:after="0"/>
              <w:rPr>
                <w:b/>
                <w:bCs/>
              </w:rPr>
            </w:pPr>
            <w:r w:rsidRPr="00ED556F">
              <w:rPr>
                <w:b/>
                <w:bCs/>
              </w:rPr>
              <w:t xml:space="preserve">an appropriate and realistic workload </w:t>
            </w:r>
          </w:p>
          <w:p w14:paraId="7DC384F4" w14:textId="77777777" w:rsidR="000A14C3" w:rsidRPr="00ED556F" w:rsidRDefault="000A14C3" w:rsidP="001B7D28">
            <w:pPr>
              <w:numPr>
                <w:ilvl w:val="1"/>
                <w:numId w:val="26"/>
              </w:numPr>
              <w:spacing w:after="0"/>
              <w:rPr>
                <w:b/>
                <w:bCs/>
              </w:rPr>
            </w:pPr>
            <w:r w:rsidRPr="00ED556F">
              <w:rPr>
                <w:b/>
                <w:bCs/>
              </w:rPr>
              <w:t xml:space="preserve">mentoring </w:t>
            </w:r>
          </w:p>
          <w:p w14:paraId="50D092B4" w14:textId="77777777" w:rsidR="000A14C3" w:rsidRPr="00ED556F" w:rsidRDefault="000A14C3" w:rsidP="001B7D28">
            <w:pPr>
              <w:numPr>
                <w:ilvl w:val="1"/>
                <w:numId w:val="26"/>
              </w:numPr>
              <w:spacing w:after="0"/>
              <w:rPr>
                <w:b/>
                <w:bCs/>
              </w:rPr>
            </w:pPr>
            <w:r w:rsidRPr="00ED556F">
              <w:rPr>
                <w:b/>
                <w:bCs/>
              </w:rPr>
              <w:t xml:space="preserve">time to learn </w:t>
            </w:r>
          </w:p>
          <w:p w14:paraId="6C98EC37" w14:textId="77777777" w:rsidR="000A14C3" w:rsidRPr="00ED556F" w:rsidRDefault="000A14C3" w:rsidP="001B7D28">
            <w:pPr>
              <w:numPr>
                <w:ilvl w:val="1"/>
                <w:numId w:val="26"/>
              </w:numPr>
              <w:spacing w:after="0"/>
              <w:rPr>
                <w:b/>
                <w:bCs/>
              </w:rPr>
            </w:pPr>
            <w:r w:rsidRPr="00ED556F">
              <w:rPr>
                <w:b/>
                <w:bCs/>
              </w:rPr>
              <w:t xml:space="preserve">continuing professional development opportunities, and </w:t>
            </w:r>
          </w:p>
          <w:p w14:paraId="41AAD83E" w14:textId="77777777" w:rsidR="000A14C3" w:rsidRPr="00ED556F" w:rsidRDefault="000A14C3" w:rsidP="001B7D28">
            <w:pPr>
              <w:numPr>
                <w:ilvl w:val="1"/>
                <w:numId w:val="26"/>
              </w:numPr>
              <w:spacing w:after="0"/>
              <w:rPr>
                <w:b/>
                <w:bCs/>
              </w:rPr>
            </w:pPr>
            <w:r w:rsidRPr="00ED556F">
              <w:rPr>
                <w:b/>
                <w:bCs/>
              </w:rPr>
              <w:t xml:space="preserve">peer support </w:t>
            </w:r>
          </w:p>
        </w:tc>
      </w:tr>
      <w:tr w:rsidR="000A14C3" w:rsidRPr="007342B3" w14:paraId="4217B66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450E0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38BE7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EEFE5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9F60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4B26A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4F885E6E"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297C0A" w14:textId="328CC59C"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9F49EE" w:rsidRPr="003A473C" w:rsidDel="00007E00" w14:paraId="44D830D2"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9B70C9" w14:textId="596FCB6D"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7.7 is:   </w:t>
            </w:r>
          </w:p>
        </w:tc>
        <w:tc>
          <w:tcPr>
            <w:tcW w:w="1134" w:type="dxa"/>
            <w:gridSpan w:val="2"/>
            <w:tcBorders>
              <w:top w:val="nil"/>
              <w:left w:val="nil"/>
              <w:bottom w:val="nil"/>
              <w:right w:val="nil"/>
            </w:tcBorders>
            <w:shd w:val="clear" w:color="auto" w:fill="00759B" w:themeFill="accent1"/>
            <w:vAlign w:val="center"/>
          </w:tcPr>
          <w:p w14:paraId="0F42AC2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550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BD34BE8"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31099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13C0CC"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290991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3D35A41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D5B28B"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52F5890"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4654C88"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064FA73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2D952F1" w14:textId="77777777" w:rsidR="000A14C3" w:rsidRPr="00ED556F" w:rsidRDefault="000A14C3" w:rsidP="001B7D28">
            <w:pPr>
              <w:pStyle w:val="ListParagraph"/>
              <w:numPr>
                <w:ilvl w:val="1"/>
                <w:numId w:val="24"/>
              </w:numPr>
              <w:spacing w:after="80"/>
              <w:ind w:left="567" w:hanging="567"/>
              <w:contextualSpacing w:val="0"/>
              <w:rPr>
                <w:b/>
                <w:bCs/>
              </w:rPr>
            </w:pPr>
            <w:r w:rsidRPr="00ED556F">
              <w:rPr>
                <w:b/>
                <w:bCs/>
              </w:rPr>
              <w:t>There must be clear procedures for everyone involved to raise concerns. Any concerns must be dealt with promptly, with documented action taken where appropriate. Serious concerns about the programme and the impact on students must be actively raised with the GPhC.</w:t>
            </w:r>
          </w:p>
        </w:tc>
      </w:tr>
      <w:tr w:rsidR="000A14C3" w:rsidRPr="007342B3" w14:paraId="746835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CFB82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D7DC8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34CB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137AD1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C6383C"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2E86129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8F964E" w14:textId="739F6A06"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288EE6A9"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84060B" w14:textId="0060D300"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7.8 is:   </w:t>
            </w:r>
          </w:p>
        </w:tc>
        <w:tc>
          <w:tcPr>
            <w:tcW w:w="1134" w:type="dxa"/>
            <w:gridSpan w:val="2"/>
            <w:tcBorders>
              <w:top w:val="nil"/>
              <w:left w:val="nil"/>
              <w:bottom w:val="nil"/>
              <w:right w:val="nil"/>
            </w:tcBorders>
            <w:shd w:val="clear" w:color="auto" w:fill="00759B" w:themeFill="accent1"/>
            <w:vAlign w:val="center"/>
          </w:tcPr>
          <w:p w14:paraId="2BE8B002"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762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8B518AB"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925995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8006B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60748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76BE60E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33BA30"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7A8048"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981084"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2"/>
    </w:tbl>
    <w:p w14:paraId="59906B78" w14:textId="4B97627C" w:rsidR="0048377E" w:rsidRDefault="0048377E" w:rsidP="00DA61B9">
      <w:pPr>
        <w:spacing w:before="240"/>
      </w:pPr>
    </w:p>
    <w:p w14:paraId="56D5AFCF" w14:textId="2B741098" w:rsidR="00B468CF" w:rsidRPr="00813F1C" w:rsidRDefault="0048377E">
      <w:r>
        <w:br w:type="page"/>
      </w:r>
    </w:p>
    <w:tbl>
      <w:tblPr>
        <w:tblW w:w="10211" w:type="dxa"/>
        <w:tblInd w:w="-15"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11"/>
      </w:tblGrid>
      <w:tr w:rsidR="00B468CF" w:rsidRPr="005F3CFE" w14:paraId="1CC350AE" w14:textId="77777777" w:rsidTr="00EE3973">
        <w:trPr>
          <w:trHeight w:val="227"/>
        </w:trPr>
        <w:tc>
          <w:tcPr>
            <w:tcW w:w="10211" w:type="dxa"/>
            <w:shd w:val="clear" w:color="auto" w:fill="00759B"/>
          </w:tcPr>
          <w:p w14:paraId="7D901D5C" w14:textId="6BBE789D" w:rsidR="00B468CF" w:rsidRPr="00B468CF" w:rsidRDefault="00F8179D" w:rsidP="00B468CF">
            <w:pPr>
              <w:pStyle w:val="Heading1"/>
              <w:rPr>
                <w:rFonts w:eastAsia="Calibri"/>
              </w:rPr>
            </w:pPr>
            <w:bookmarkStart w:id="32" w:name="_Toc92960555"/>
            <w:r>
              <w:rPr>
                <w:rFonts w:eastAsia="Calibri"/>
                <w:color w:val="FFFFFF" w:themeColor="background1"/>
                <w:sz w:val="40"/>
                <w:szCs w:val="22"/>
              </w:rPr>
              <w:lastRenderedPageBreak/>
              <w:t>T</w:t>
            </w:r>
            <w:r w:rsidR="00B468CF" w:rsidRPr="00B468CF">
              <w:rPr>
                <w:rFonts w:eastAsia="Calibri"/>
                <w:color w:val="FFFFFF" w:themeColor="background1"/>
                <w:sz w:val="40"/>
                <w:szCs w:val="22"/>
              </w:rPr>
              <w:t>ransfer information</w:t>
            </w:r>
            <w:bookmarkEnd w:id="32"/>
          </w:p>
        </w:tc>
      </w:tr>
      <w:tr w:rsidR="00406455" w:rsidRPr="007C74E5" w14:paraId="36622FB5"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0D062B77" w14:textId="4AFEB80E" w:rsidR="007C74E5" w:rsidRDefault="007C74E5" w:rsidP="00406455">
            <w:pPr>
              <w:rPr>
                <w:b/>
                <w:bCs/>
              </w:rPr>
            </w:pPr>
            <w:r>
              <w:rPr>
                <w:b/>
                <w:bCs/>
              </w:rPr>
              <w:t>From 2025 onwards, students graduating from GPhC-accredited MPharm degrees must have met the requirements of the 2021 standards in order to be eligible to enter foundation training.</w:t>
            </w:r>
          </w:p>
          <w:p w14:paraId="1FF28843" w14:textId="6A8E89FF" w:rsidR="00406455" w:rsidRPr="00ED556F" w:rsidRDefault="00406455" w:rsidP="00406455">
            <w:pPr>
              <w:rPr>
                <w:b/>
                <w:bCs/>
              </w:rPr>
            </w:pPr>
            <w:r w:rsidRPr="00ED556F">
              <w:rPr>
                <w:b/>
                <w:bCs/>
              </w:rPr>
              <w:t>Please explain how</w:t>
            </w:r>
            <w:r w:rsidR="007C74E5">
              <w:rPr>
                <w:b/>
                <w:bCs/>
              </w:rPr>
              <w:t>, as the course</w:t>
            </w:r>
            <w:r w:rsidRPr="00ED556F">
              <w:rPr>
                <w:b/>
                <w:bCs/>
              </w:rPr>
              <w:t xml:space="preserve"> provider</w:t>
            </w:r>
            <w:r w:rsidR="007C74E5">
              <w:rPr>
                <w:b/>
                <w:bCs/>
              </w:rPr>
              <w:t xml:space="preserve">, you </w:t>
            </w:r>
            <w:r w:rsidRPr="00ED556F">
              <w:rPr>
                <w:b/>
                <w:bCs/>
              </w:rPr>
              <w:t xml:space="preserve">will transfer </w:t>
            </w:r>
            <w:r w:rsidR="007C74E5">
              <w:rPr>
                <w:b/>
                <w:bCs/>
              </w:rPr>
              <w:t xml:space="preserve">current students </w:t>
            </w:r>
            <w:r w:rsidRPr="00ED556F">
              <w:rPr>
                <w:b/>
                <w:bCs/>
              </w:rPr>
              <w:t xml:space="preserve">from the </w:t>
            </w:r>
            <w:r w:rsidR="00821751">
              <w:rPr>
                <w:b/>
                <w:bCs/>
              </w:rPr>
              <w:t xml:space="preserve">programme based on the </w:t>
            </w:r>
            <w:r w:rsidR="00D55661" w:rsidRPr="00ED556F">
              <w:rPr>
                <w:b/>
                <w:bCs/>
              </w:rPr>
              <w:t>2011 standards</w:t>
            </w:r>
            <w:r w:rsidR="007C74E5">
              <w:rPr>
                <w:b/>
                <w:bCs/>
              </w:rPr>
              <w:t>,</w:t>
            </w:r>
            <w:r w:rsidR="00D55661" w:rsidRPr="00ED556F">
              <w:rPr>
                <w:b/>
                <w:bCs/>
              </w:rPr>
              <w:t xml:space="preserve"> to the programme based on the 2021 standards</w:t>
            </w:r>
            <w:r w:rsidR="007C74E5">
              <w:rPr>
                <w:b/>
                <w:bCs/>
              </w:rPr>
              <w:t xml:space="preserve">. </w:t>
            </w:r>
            <w:r w:rsidR="00D55661" w:rsidRPr="00ED556F">
              <w:rPr>
                <w:b/>
                <w:bCs/>
              </w:rPr>
              <w:t>This should include reference to key dates</w:t>
            </w:r>
            <w:r w:rsidR="004666AF" w:rsidRPr="00ED556F">
              <w:rPr>
                <w:b/>
                <w:bCs/>
              </w:rPr>
              <w:t xml:space="preserve"> and how the 2021 learning outcomes will be </w:t>
            </w:r>
            <w:r w:rsidR="007C74E5">
              <w:rPr>
                <w:b/>
                <w:bCs/>
              </w:rPr>
              <w:t xml:space="preserve">covered </w:t>
            </w:r>
            <w:r w:rsidR="004666AF" w:rsidRPr="00ED556F">
              <w:rPr>
                <w:b/>
                <w:bCs/>
              </w:rPr>
              <w:t>within the remaining years of study</w:t>
            </w:r>
            <w:r w:rsidR="00D55661" w:rsidRPr="00ED556F">
              <w:rPr>
                <w:b/>
                <w:bCs/>
              </w:rPr>
              <w:t xml:space="preserve">. </w:t>
            </w:r>
          </w:p>
        </w:tc>
      </w:tr>
      <w:tr w:rsidR="00406455" w:rsidRPr="007342B3" w14:paraId="65B6EE3F"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6FCD0386"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70D248A"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3F9B86"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3E31E8"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20D5D08" w14:textId="77777777" w:rsidR="00406455" w:rsidRPr="007342B3" w:rsidRDefault="00406455" w:rsidP="00406455">
            <w:pPr>
              <w:rPr>
                <w:b/>
                <w:bCs/>
                <w:noProof/>
              </w:rPr>
            </w:pPr>
            <w:r w:rsidRPr="004F533E">
              <w:rPr>
                <w:rFonts w:ascii="Calibri" w:hAnsi="Calibri" w:cs="Calibri"/>
              </w:rPr>
              <w:t>(expand as necessary)</w:t>
            </w:r>
          </w:p>
        </w:tc>
      </w:tr>
      <w:tr w:rsidR="00356C02" w:rsidRPr="007342B3" w14:paraId="2D311A97"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38082C87" w14:textId="77777777" w:rsidR="00356C02" w:rsidRDefault="00356C02" w:rsidP="00356C0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CA10BF0" w14:textId="77777777" w:rsidR="00356C02" w:rsidRPr="003A473C" w:rsidRDefault="00356C02" w:rsidP="00356C0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228AAE6" w14:textId="3953C84F" w:rsidR="00356C02" w:rsidRPr="004F533E" w:rsidRDefault="00356C02" w:rsidP="00356C02">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3A473C">
              <w:rPr>
                <w:rFonts w:ascii="Calibri" w:eastAsia="Times New Roman" w:hAnsi="Calibri" w:cs="Calibri"/>
                <w:bCs/>
                <w:color w:val="00759B"/>
              </w:rPr>
              <w:t>X</w:t>
            </w:r>
          </w:p>
        </w:tc>
      </w:tr>
      <w:tr w:rsidR="00C8096A" w:rsidRPr="005F3CFE" w14:paraId="46E2B4F1" w14:textId="77777777" w:rsidTr="008D3A97">
        <w:trPr>
          <w:trHeight w:val="227"/>
        </w:trPr>
        <w:tc>
          <w:tcPr>
            <w:tcW w:w="10211" w:type="dxa"/>
            <w:shd w:val="clear" w:color="auto" w:fill="00759B"/>
          </w:tcPr>
          <w:p w14:paraId="04D3A80D" w14:textId="7236E045" w:rsidR="00C8096A" w:rsidRPr="00B468CF" w:rsidRDefault="000F153B" w:rsidP="008D3A97">
            <w:pPr>
              <w:pStyle w:val="Heading1"/>
              <w:rPr>
                <w:rFonts w:eastAsia="Calibri"/>
              </w:rPr>
            </w:pPr>
            <w:bookmarkStart w:id="33" w:name="_Toc92960556"/>
            <w:r>
              <w:rPr>
                <w:rFonts w:eastAsia="Calibri"/>
                <w:color w:val="FFFFFF" w:themeColor="background1"/>
                <w:sz w:val="40"/>
                <w:szCs w:val="22"/>
              </w:rPr>
              <w:t>Collaboration with</w:t>
            </w:r>
            <w:r w:rsidR="00D912A6" w:rsidRPr="00D912A6">
              <w:rPr>
                <w:rFonts w:eastAsia="Calibri"/>
                <w:color w:val="FFFFFF" w:themeColor="background1"/>
                <w:sz w:val="40"/>
                <w:szCs w:val="22"/>
              </w:rPr>
              <w:t xml:space="preserve"> </w:t>
            </w:r>
            <w:r w:rsidR="008A2958">
              <w:rPr>
                <w:rFonts w:eastAsia="Calibri"/>
                <w:color w:val="FFFFFF" w:themeColor="background1"/>
                <w:sz w:val="40"/>
                <w:szCs w:val="22"/>
              </w:rPr>
              <w:t xml:space="preserve">the </w:t>
            </w:r>
            <w:r w:rsidR="00C00CE9">
              <w:rPr>
                <w:rFonts w:eastAsia="Calibri"/>
                <w:color w:val="FFFFFF" w:themeColor="background1"/>
                <w:sz w:val="40"/>
                <w:szCs w:val="22"/>
              </w:rPr>
              <w:t>statutory education body</w:t>
            </w:r>
            <w:r w:rsidR="008A2958">
              <w:rPr>
                <w:rFonts w:eastAsia="Calibri"/>
                <w:color w:val="FFFFFF" w:themeColor="background1"/>
                <w:sz w:val="40"/>
                <w:szCs w:val="22"/>
              </w:rPr>
              <w:t xml:space="preserve"> and others</w:t>
            </w:r>
            <w:bookmarkEnd w:id="33"/>
          </w:p>
        </w:tc>
      </w:tr>
      <w:tr w:rsidR="00C8096A" w:rsidRPr="000F153B" w14:paraId="49B6CAFF"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27F3F4BD" w14:textId="257CCFFD" w:rsidR="00B170A7" w:rsidRDefault="00D912A6" w:rsidP="008D3A97">
            <w:pPr>
              <w:rPr>
                <w:b/>
                <w:bCs/>
              </w:rPr>
            </w:pPr>
            <w:r w:rsidRPr="00ED556F">
              <w:rPr>
                <w:b/>
                <w:bCs/>
              </w:rPr>
              <w:t xml:space="preserve">Please </w:t>
            </w:r>
            <w:r w:rsidR="0043212F">
              <w:rPr>
                <w:b/>
                <w:bCs/>
              </w:rPr>
              <w:t xml:space="preserve">tell us </w:t>
            </w:r>
            <w:r w:rsidR="002D2048">
              <w:rPr>
                <w:b/>
                <w:bCs/>
              </w:rPr>
              <w:t>how, as the course</w:t>
            </w:r>
            <w:r w:rsidR="002D2048" w:rsidRPr="003A473C">
              <w:rPr>
                <w:b/>
                <w:bCs/>
              </w:rPr>
              <w:t xml:space="preserve"> provider</w:t>
            </w:r>
            <w:r w:rsidR="002D2048">
              <w:rPr>
                <w:b/>
                <w:bCs/>
              </w:rPr>
              <w:t>, you are working collaboratively with</w:t>
            </w:r>
            <w:r w:rsidRPr="00ED556F">
              <w:rPr>
                <w:b/>
                <w:bCs/>
              </w:rPr>
              <w:t xml:space="preserve"> the </w:t>
            </w:r>
            <w:r w:rsidR="00C00CE9">
              <w:rPr>
                <w:b/>
                <w:bCs/>
              </w:rPr>
              <w:t xml:space="preserve">statutory education body </w:t>
            </w:r>
            <w:r w:rsidR="008A2958">
              <w:rPr>
                <w:b/>
                <w:bCs/>
              </w:rPr>
              <w:t xml:space="preserve">and others </w:t>
            </w:r>
            <w:r w:rsidR="00C00CE9">
              <w:rPr>
                <w:b/>
                <w:bCs/>
              </w:rPr>
              <w:t>to</w:t>
            </w:r>
            <w:r w:rsidR="00B170A7">
              <w:rPr>
                <w:b/>
                <w:bCs/>
              </w:rPr>
              <w:t>:</w:t>
            </w:r>
          </w:p>
          <w:p w14:paraId="18FA5959" w14:textId="2C8BF46D" w:rsidR="00B170A7" w:rsidRPr="00ED556F" w:rsidRDefault="00C00CE9" w:rsidP="001B7D28">
            <w:pPr>
              <w:pStyle w:val="ListParagraph"/>
              <w:numPr>
                <w:ilvl w:val="0"/>
                <w:numId w:val="30"/>
              </w:numPr>
              <w:rPr>
                <w:b/>
                <w:bCs/>
              </w:rPr>
            </w:pPr>
            <w:r w:rsidRPr="00ED556F">
              <w:rPr>
                <w:b/>
                <w:bCs/>
              </w:rPr>
              <w:t>deliver experiential learning elements of the MPharm degree</w:t>
            </w:r>
          </w:p>
          <w:p w14:paraId="43C06E0C" w14:textId="0B074C0C" w:rsidR="00B170A7" w:rsidRPr="00ED556F" w:rsidRDefault="00D912A6" w:rsidP="001B7D28">
            <w:pPr>
              <w:pStyle w:val="ListParagraph"/>
              <w:numPr>
                <w:ilvl w:val="0"/>
                <w:numId w:val="30"/>
              </w:numPr>
              <w:rPr>
                <w:b/>
                <w:bCs/>
              </w:rPr>
            </w:pPr>
            <w:r w:rsidRPr="00ED556F">
              <w:rPr>
                <w:b/>
                <w:bCs/>
              </w:rPr>
              <w:t xml:space="preserve">prepare students to </w:t>
            </w:r>
            <w:r w:rsidR="000F153B" w:rsidRPr="00ED556F">
              <w:rPr>
                <w:b/>
                <w:bCs/>
              </w:rPr>
              <w:t>enter</w:t>
            </w:r>
            <w:r w:rsidRPr="00ED556F">
              <w:rPr>
                <w:b/>
                <w:bCs/>
              </w:rPr>
              <w:t xml:space="preserve"> foundation </w:t>
            </w:r>
            <w:r w:rsidR="000F153B" w:rsidRPr="00ED556F">
              <w:rPr>
                <w:b/>
                <w:bCs/>
              </w:rPr>
              <w:t>training</w:t>
            </w:r>
          </w:p>
          <w:p w14:paraId="50512F5B" w14:textId="55D496BE" w:rsidR="00C8096A" w:rsidRDefault="000F153B" w:rsidP="001B7D28">
            <w:pPr>
              <w:pStyle w:val="ListParagraph"/>
              <w:numPr>
                <w:ilvl w:val="0"/>
                <w:numId w:val="30"/>
              </w:numPr>
              <w:rPr>
                <w:b/>
                <w:bCs/>
              </w:rPr>
            </w:pPr>
            <w:r w:rsidRPr="00ED556F">
              <w:rPr>
                <w:b/>
                <w:bCs/>
              </w:rPr>
              <w:t>work towards a seamless transition between the 4</w:t>
            </w:r>
            <w:r w:rsidRPr="00ED556F">
              <w:rPr>
                <w:b/>
                <w:bCs/>
                <w:vertAlign w:val="superscript"/>
              </w:rPr>
              <w:t>th</w:t>
            </w:r>
            <w:r w:rsidRPr="00ED556F">
              <w:rPr>
                <w:b/>
                <w:bCs/>
              </w:rPr>
              <w:t xml:space="preserve"> and 5</w:t>
            </w:r>
            <w:r w:rsidRPr="00ED556F">
              <w:rPr>
                <w:b/>
                <w:bCs/>
                <w:vertAlign w:val="superscript"/>
              </w:rPr>
              <w:t>th</w:t>
            </w:r>
            <w:r w:rsidRPr="00ED556F">
              <w:rPr>
                <w:b/>
                <w:bCs/>
              </w:rPr>
              <w:t xml:space="preserve"> year of education and training. </w:t>
            </w:r>
            <w:r w:rsidR="00D912A6" w:rsidRPr="00ED556F">
              <w:rPr>
                <w:b/>
                <w:bCs/>
              </w:rPr>
              <w:t xml:space="preserve"> </w:t>
            </w:r>
          </w:p>
          <w:p w14:paraId="04BC5FE0" w14:textId="6C688055" w:rsidR="0043212F" w:rsidRPr="00ED556F" w:rsidRDefault="0043212F">
            <w:pPr>
              <w:rPr>
                <w:b/>
                <w:bCs/>
              </w:rPr>
            </w:pPr>
            <w:r>
              <w:rPr>
                <w:b/>
                <w:bCs/>
              </w:rPr>
              <w:t xml:space="preserve">Please include </w:t>
            </w:r>
            <w:r w:rsidR="00CB01C0">
              <w:rPr>
                <w:b/>
                <w:bCs/>
              </w:rPr>
              <w:t xml:space="preserve">both </w:t>
            </w:r>
            <w:r>
              <w:rPr>
                <w:b/>
                <w:bCs/>
              </w:rPr>
              <w:t>work that has been carried out to date and future plans.</w:t>
            </w:r>
          </w:p>
        </w:tc>
      </w:tr>
      <w:tr w:rsidR="00C8096A" w:rsidRPr="007342B3" w14:paraId="1EB73306"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04968270" w14:textId="77777777" w:rsidR="00C8096A" w:rsidRPr="004F533E" w:rsidRDefault="00C8096A" w:rsidP="008D3A9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D16C873" w14:textId="77777777" w:rsidR="00C8096A" w:rsidRPr="004F533E" w:rsidRDefault="00C8096A" w:rsidP="008D3A9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49B61"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99832C"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0BE5" w14:textId="77777777" w:rsidR="00C8096A" w:rsidRPr="007342B3" w:rsidRDefault="00C8096A" w:rsidP="008D3A97">
            <w:pPr>
              <w:rPr>
                <w:b/>
                <w:bCs/>
                <w:noProof/>
              </w:rPr>
            </w:pPr>
            <w:r w:rsidRPr="004F533E">
              <w:rPr>
                <w:rFonts w:ascii="Calibri" w:hAnsi="Calibri" w:cs="Calibri"/>
              </w:rPr>
              <w:t>(expand as necessary)</w:t>
            </w:r>
          </w:p>
        </w:tc>
      </w:tr>
      <w:tr w:rsidR="00C8096A" w:rsidRPr="005F3CFE" w14:paraId="62A61808"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2BC7DDB" w14:textId="77777777" w:rsidR="000F153B" w:rsidRDefault="000F153B" w:rsidP="000F15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5221C" w14:textId="77777777" w:rsidR="000F153B" w:rsidRPr="003A473C"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52D370E" w14:textId="6000F20B" w:rsidR="00C8096A" w:rsidRPr="005F3CFE"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r w:rsidDel="000F153B">
              <w:rPr>
                <w:rFonts w:ascii="Calibri" w:eastAsia="Times New Roman" w:hAnsi="Calibri" w:cs="Calibri"/>
                <w:b/>
                <w:color w:val="00759B"/>
              </w:rPr>
              <w:t xml:space="preserve"> </w:t>
            </w:r>
          </w:p>
        </w:tc>
      </w:tr>
    </w:tbl>
    <w:p w14:paraId="15CEFAE2" w14:textId="7CF44E59" w:rsidR="00317480" w:rsidRDefault="00317480">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ED556F">
            <w:pPr>
              <w:pStyle w:val="Heading1"/>
              <w:spacing w:after="120"/>
              <w:rPr>
                <w:lang w:bidi="en-US"/>
              </w:rPr>
            </w:pPr>
            <w:bookmarkStart w:id="34" w:name="_Toc92960557"/>
            <w:r w:rsidRPr="00E74C05">
              <w:rPr>
                <w:color w:val="FFFFFF" w:themeColor="background1"/>
                <w:sz w:val="32"/>
                <w:szCs w:val="16"/>
                <w:lang w:bidi="en-US"/>
              </w:rPr>
              <w:lastRenderedPageBreak/>
              <w:t>Documentary evidence</w:t>
            </w:r>
            <w:bookmarkEnd w:id="34"/>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3C9B2FE6" w:rsidR="005351AB" w:rsidRPr="00761968" w:rsidRDefault="000A2B99" w:rsidP="00AB2432">
            <w:pPr>
              <w:keepNext/>
              <w:spacing w:before="120"/>
              <w:rPr>
                <w:b/>
                <w:color w:val="00759B"/>
              </w:rPr>
            </w:pPr>
            <w:r>
              <w:rPr>
                <w:b/>
                <w:color w:val="00759B"/>
              </w:rPr>
              <w:t>Please li</w:t>
            </w:r>
            <w:r w:rsidR="005351AB" w:rsidRPr="00761968">
              <w:rPr>
                <w:b/>
                <w:color w:val="00759B"/>
              </w:rPr>
              <w:t>st below the document</w:t>
            </w:r>
            <w:r>
              <w:rPr>
                <w:b/>
                <w:color w:val="00759B"/>
              </w:rPr>
              <w:t xml:space="preserve">s </w:t>
            </w:r>
            <w:r w:rsidR="005351AB" w:rsidRPr="00761968">
              <w:rPr>
                <w:b/>
                <w:color w:val="00759B"/>
              </w:rPr>
              <w:t>that you are providing</w:t>
            </w:r>
            <w:r>
              <w:rPr>
                <w:b/>
                <w:color w:val="00759B"/>
              </w:rPr>
              <w:t xml:space="preserve"> as supporting evidence.</w:t>
            </w:r>
          </w:p>
          <w:p w14:paraId="69229424" w14:textId="3E654E3D" w:rsidR="005351AB" w:rsidRPr="00761968" w:rsidRDefault="000A2B99" w:rsidP="00AB2432">
            <w:pPr>
              <w:pStyle w:val="Heading4"/>
              <w:spacing w:before="120"/>
              <w:rPr>
                <w:rFonts w:asciiTheme="minorHAnsi" w:hAnsiTheme="minorHAnsi"/>
                <w:color w:val="00759B"/>
              </w:rPr>
            </w:pPr>
            <w:r w:rsidRPr="00ED556F">
              <w:rPr>
                <w:rFonts w:asciiTheme="minorHAnsi" w:hAnsiTheme="minorHAnsi"/>
                <w:b w:val="0"/>
                <w:bCs/>
              </w:rPr>
              <w:t>There is a s</w:t>
            </w:r>
            <w:r w:rsidR="00F849C8" w:rsidRPr="00ED556F">
              <w:rPr>
                <w:rFonts w:asciiTheme="minorHAnsi" w:hAnsiTheme="minorHAnsi"/>
                <w:b w:val="0"/>
                <w:bCs/>
              </w:rPr>
              <w:t xml:space="preserve">uggested maximum of 35 documents. </w:t>
            </w:r>
            <w:r w:rsidR="00287F27">
              <w:rPr>
                <w:rFonts w:asciiTheme="minorHAnsi" w:hAnsiTheme="minorHAnsi"/>
                <w:b w:val="0"/>
                <w:bCs/>
              </w:rPr>
              <w:t>There is</w:t>
            </w:r>
            <w:r w:rsidR="005351AB" w:rsidRPr="00ED556F">
              <w:rPr>
                <w:rFonts w:asciiTheme="minorHAnsi" w:hAnsiTheme="minorHAnsi"/>
                <w:b w:val="0"/>
                <w:bCs/>
              </w:rPr>
              <w:t xml:space="preserve"> </w:t>
            </w:r>
            <w:r w:rsidR="00F849C8" w:rsidRPr="00ED556F">
              <w:rPr>
                <w:rFonts w:asciiTheme="minorHAnsi" w:hAnsiTheme="minorHAnsi"/>
                <w:b w:val="0"/>
                <w:bCs/>
              </w:rPr>
              <w:t>further</w:t>
            </w:r>
            <w:r w:rsidR="005351AB" w:rsidRPr="00ED556F">
              <w:rPr>
                <w:rFonts w:asciiTheme="minorHAnsi" w:hAnsiTheme="minorHAnsi"/>
                <w:b w:val="0"/>
                <w:bCs/>
              </w:rPr>
              <w:t xml:space="preserve"> guidance on </w:t>
            </w:r>
            <w:r w:rsidR="00287F27">
              <w:rPr>
                <w:rFonts w:asciiTheme="minorHAnsi" w:hAnsiTheme="minorHAnsi"/>
                <w:b w:val="0"/>
                <w:bCs/>
              </w:rPr>
              <w:t xml:space="preserve">providing </w:t>
            </w:r>
            <w:r w:rsidR="005351AB" w:rsidRPr="00ED556F">
              <w:rPr>
                <w:rFonts w:asciiTheme="minorHAnsi" w:hAnsiTheme="minorHAnsi"/>
                <w:b w:val="0"/>
                <w:bCs/>
              </w:rPr>
              <w:t xml:space="preserve">documentary evidence provided on </w:t>
            </w:r>
            <w:r w:rsidR="005351AB" w:rsidRPr="00ED556F">
              <w:rPr>
                <w:rFonts w:asciiTheme="minorHAnsi" w:hAnsiTheme="minorHAnsi"/>
              </w:rPr>
              <w:t xml:space="preserve">page </w:t>
            </w:r>
            <w:r w:rsidR="00387F31" w:rsidRPr="00ED556F">
              <w:rPr>
                <w:rFonts w:asciiTheme="minorHAnsi" w:hAnsiTheme="minorHAnsi"/>
              </w:rPr>
              <w:t>4</w:t>
            </w:r>
            <w:r w:rsidR="00287F27">
              <w:rPr>
                <w:rFonts w:asciiTheme="minorHAnsi" w:hAnsiTheme="minorHAnsi"/>
              </w:rPr>
              <w:t>.</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2620FB07" w14:textId="2D1E155C" w:rsidR="005351AB" w:rsidRDefault="00F849C8" w:rsidP="00ED556F">
            <w:pPr>
              <w:keepNext/>
              <w:spacing w:after="0" w:line="276" w:lineRule="auto"/>
              <w:rPr>
                <w:rFonts w:ascii="Calibri" w:hAnsi="Calibri"/>
                <w:b/>
              </w:rPr>
            </w:pPr>
            <w:r>
              <w:rPr>
                <w:rFonts w:ascii="Calibri" w:hAnsi="Calibri"/>
                <w:b/>
              </w:rPr>
              <w:t>Appendix 1 - XXX</w:t>
            </w:r>
          </w:p>
          <w:p w14:paraId="534502F0" w14:textId="1A8BFD62" w:rsidR="00F849C8" w:rsidRDefault="00F849C8" w:rsidP="00ED556F">
            <w:pPr>
              <w:keepNext/>
              <w:spacing w:after="0" w:line="276" w:lineRule="auto"/>
              <w:rPr>
                <w:rFonts w:ascii="Calibri" w:hAnsi="Calibri"/>
                <w:b/>
              </w:rPr>
            </w:pPr>
            <w:r>
              <w:rPr>
                <w:rFonts w:ascii="Calibri" w:hAnsi="Calibri"/>
                <w:b/>
              </w:rPr>
              <w:t>Appendix 2 - XXX</w:t>
            </w:r>
          </w:p>
          <w:p w14:paraId="452F6567" w14:textId="6BCB3362" w:rsidR="00F849C8" w:rsidRDefault="00F849C8" w:rsidP="00F849C8">
            <w:pPr>
              <w:keepNext/>
              <w:spacing w:after="0" w:line="276" w:lineRule="auto"/>
              <w:rPr>
                <w:rFonts w:ascii="Calibri" w:hAnsi="Calibri"/>
                <w:b/>
              </w:rPr>
            </w:pPr>
            <w:r>
              <w:rPr>
                <w:rFonts w:ascii="Calibri" w:hAnsi="Calibri"/>
                <w:b/>
              </w:rPr>
              <w:t>Appendix 3 - XXX</w:t>
            </w:r>
          </w:p>
          <w:p w14:paraId="5DEEC0D5" w14:textId="2D1BF659" w:rsidR="00F849C8" w:rsidRPr="00ED556F" w:rsidRDefault="00F849C8" w:rsidP="00ED556F">
            <w:pPr>
              <w:keepNext/>
              <w:spacing w:after="0" w:line="276" w:lineRule="auto"/>
              <w:rPr>
                <w:rFonts w:ascii="Calibri" w:hAnsi="Calibri"/>
                <w:bCs/>
              </w:rPr>
            </w:pPr>
            <w:r w:rsidRPr="00ED556F">
              <w:rPr>
                <w:rFonts w:ascii="Calibri" w:hAnsi="Calibri"/>
                <w:bCs/>
              </w:rPr>
              <w:t>(expand as necessary)</w:t>
            </w:r>
          </w:p>
          <w:p w14:paraId="145C2C91" w14:textId="77777777" w:rsidR="00F849C8" w:rsidRPr="00761968" w:rsidRDefault="00F849C8" w:rsidP="00ED556F">
            <w:pPr>
              <w:keepNext/>
              <w:spacing w:line="276" w:lineRule="auto"/>
              <w:rPr>
                <w:rFonts w:ascii="Calibri" w:hAnsi="Calibri"/>
                <w:b/>
              </w:rPr>
            </w:pPr>
          </w:p>
          <w:p w14:paraId="5A4AFB9B" w14:textId="77777777" w:rsidR="005351AB" w:rsidRPr="00761968" w:rsidRDefault="005351AB" w:rsidP="00AB2432">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35" w:name="_Hlk43305394"/>
          </w:p>
          <w:p w14:paraId="3A1BC278" w14:textId="77777777" w:rsidR="00317480" w:rsidRPr="00937043" w:rsidRDefault="00317480" w:rsidP="00937043">
            <w:pPr>
              <w:pStyle w:val="Heading2"/>
              <w:ind w:left="284"/>
              <w:rPr>
                <w:rFonts w:eastAsia="Times New Roman"/>
                <w:lang w:bidi="en-US"/>
              </w:rPr>
            </w:pPr>
            <w:bookmarkStart w:id="36" w:name="_Toc92960558"/>
            <w:r w:rsidRPr="00937043">
              <w:rPr>
                <w:rFonts w:eastAsia="Times New Roman"/>
                <w:lang w:bidi="en-US"/>
              </w:rPr>
              <w:t>Submitting your documentation to the GPhC</w:t>
            </w:r>
            <w:bookmarkEnd w:id="36"/>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34E1D70F" w14:textId="5EA990CC" w:rsidR="00317480" w:rsidRPr="00401E9C" w:rsidRDefault="00317480" w:rsidP="00ED556F">
            <w:pPr>
              <w:ind w:left="284"/>
              <w:rPr>
                <w:rFonts w:ascii="Calibri" w:hAnsi="Calibri" w:cs="Arial"/>
                <w:bCs/>
                <w:color w:val="000000"/>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57041771" w14:textId="77777777" w:rsidR="00317480" w:rsidRPr="00401E9C" w:rsidRDefault="00317480" w:rsidP="001B7D28">
            <w:pPr>
              <w:pStyle w:val="ListParagraph"/>
              <w:numPr>
                <w:ilvl w:val="0"/>
                <w:numId w:val="29"/>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1B7D28">
            <w:pPr>
              <w:pStyle w:val="ListParagraph"/>
              <w:numPr>
                <w:ilvl w:val="0"/>
                <w:numId w:val="29"/>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1041507E"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w:t>
            </w:r>
            <w:r>
              <w:rPr>
                <w:rFonts w:ascii="Calibri" w:hAnsi="Calibri" w:cs="Arial"/>
                <w:b/>
                <w:bCs/>
                <w:lang w:bidi="en-US"/>
              </w:rPr>
              <w:t>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35"/>
    </w:tbl>
    <w:p w14:paraId="659F11D1" w14:textId="77777777" w:rsidR="005F760B" w:rsidRDefault="005F760B" w:rsidP="005F760B">
      <w:pPr>
        <w:pStyle w:val="NormalIndent"/>
        <w:ind w:left="0"/>
        <w:rPr>
          <w:b/>
          <w:bCs/>
          <w:sz w:val="36"/>
          <w:szCs w:val="36"/>
          <w:u w:val="single"/>
        </w:rPr>
      </w:pPr>
    </w:p>
    <w:p w14:paraId="2EA35B6D" w14:textId="7E4D8ACF" w:rsidR="005F760B" w:rsidRPr="00F44FC2" w:rsidRDefault="005F760B" w:rsidP="005F760B">
      <w:pPr>
        <w:pStyle w:val="NormalIndent"/>
        <w:ind w:left="0"/>
      </w:pPr>
      <w:r w:rsidRPr="00ED556F">
        <w:rPr>
          <w:b/>
          <w:bCs/>
          <w:u w:val="single"/>
        </w:rPr>
        <w:t>Please delete this section/page before submitting to the GPhC.</w:t>
      </w:r>
      <w:r w:rsidR="00F17437" w:rsidRPr="00ED556F">
        <w:rPr>
          <w:b/>
          <w:bCs/>
          <w:u w:val="single"/>
        </w:rPr>
        <w:t xml:space="preserve"> Please remember to update the contents page before submission</w:t>
      </w:r>
      <w:r w:rsidR="00AB087C" w:rsidRPr="00ED556F">
        <w:rPr>
          <w:b/>
          <w:bCs/>
          <w:u w:val="single"/>
        </w:rPr>
        <w:t xml:space="preserve"> to the GPhC</w:t>
      </w:r>
      <w:r w:rsidR="00F17437" w:rsidRPr="00ED556F">
        <w:rPr>
          <w:b/>
          <w:bCs/>
          <w:u w:val="single"/>
        </w:rPr>
        <w:t>.</w:t>
      </w:r>
    </w:p>
    <w:p w14:paraId="1AFD040D" w14:textId="77777777" w:rsidR="00406455" w:rsidRDefault="00406455" w:rsidP="00DA61B9">
      <w:pPr>
        <w:spacing w:before="240"/>
      </w:pPr>
    </w:p>
    <w:sectPr w:rsidR="00406455" w:rsidSect="00E505CE">
      <w:footerReference w:type="default" r:id="rId18"/>
      <w:headerReference w:type="first" r:id="rId19"/>
      <w:footerReference w:type="first" r:id="rId20"/>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319C" w14:textId="77777777" w:rsidR="000832F7" w:rsidRDefault="000832F7" w:rsidP="00FE3018">
      <w:pPr>
        <w:spacing w:after="0"/>
      </w:pPr>
      <w:r>
        <w:separator/>
      </w:r>
    </w:p>
    <w:p w14:paraId="728120FC" w14:textId="77777777" w:rsidR="000832F7" w:rsidRDefault="000832F7"/>
  </w:endnote>
  <w:endnote w:type="continuationSeparator" w:id="0">
    <w:p w14:paraId="1EF0CCB5" w14:textId="77777777" w:rsidR="000832F7" w:rsidRDefault="000832F7" w:rsidP="00FE3018">
      <w:pPr>
        <w:spacing w:after="0"/>
      </w:pPr>
      <w:r>
        <w:continuationSeparator/>
      </w:r>
    </w:p>
    <w:p w14:paraId="16E9FDD8" w14:textId="77777777" w:rsidR="000832F7" w:rsidRDefault="0008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017" w14:textId="477BA0B8" w:rsidR="000832F7" w:rsidRDefault="00CA4967">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t>Step 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67A" w14:textId="3D11F2A1" w:rsidR="000832F7" w:rsidRDefault="00CA4967">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t>Step 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B267" w14:textId="77777777" w:rsidR="000832F7" w:rsidRDefault="000832F7" w:rsidP="00FE3018">
      <w:pPr>
        <w:spacing w:after="0"/>
      </w:pPr>
      <w:r>
        <w:separator/>
      </w:r>
    </w:p>
    <w:p w14:paraId="59F30E14" w14:textId="77777777" w:rsidR="000832F7" w:rsidRDefault="000832F7"/>
  </w:footnote>
  <w:footnote w:type="continuationSeparator" w:id="0">
    <w:p w14:paraId="51E35A8D" w14:textId="77777777" w:rsidR="000832F7" w:rsidRDefault="000832F7" w:rsidP="00FE3018">
      <w:pPr>
        <w:spacing w:after="0"/>
      </w:pPr>
      <w:r>
        <w:continuationSeparator/>
      </w:r>
    </w:p>
    <w:p w14:paraId="1A15B47B" w14:textId="77777777" w:rsidR="000832F7" w:rsidRDefault="000832F7"/>
  </w:footnote>
  <w:footnote w:id="1">
    <w:p w14:paraId="73F1CE92" w14:textId="77777777" w:rsidR="001B7D28" w:rsidRDefault="001B7D28" w:rsidP="001B7D28">
      <w:pPr>
        <w:pStyle w:val="FootnoteText"/>
        <w:rPr>
          <w:szCs w:val="24"/>
        </w:rPr>
      </w:pPr>
      <w:r>
        <w:rPr>
          <w:rStyle w:val="FootnoteReference"/>
          <w:szCs w:val="24"/>
        </w:rPr>
        <w:footnoteRef/>
      </w:r>
      <w:r>
        <w:rPr>
          <w:szCs w:val="24"/>
        </w:rPr>
        <w:t xml:space="preserve"> Monitoring the effects of medicines after they have been licensed for use, especially to identify previously unreported adverse reactions.  </w:t>
      </w:r>
    </w:p>
  </w:footnote>
  <w:footnote w:id="2">
    <w:p w14:paraId="73EEC1CE"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t>
      </w:r>
      <w:r>
        <w:rPr>
          <w:szCs w:val="24"/>
        </w:rPr>
        <w:t xml:space="preserve">As set out in </w:t>
      </w:r>
      <w:hyperlink r:id="rId1" w:history="1">
        <w:r w:rsidRPr="003C010B">
          <w:rPr>
            <w:rStyle w:val="Hyperlink"/>
            <w:i/>
            <w:iCs/>
            <w:szCs w:val="24"/>
          </w:rPr>
          <w:t>Standards for pharmacy professionals,</w:t>
        </w:r>
        <w:r w:rsidRPr="003C010B">
          <w:rPr>
            <w:rStyle w:val="Hyperlink"/>
            <w:b w:val="0"/>
            <w:bCs/>
            <w:i/>
            <w:iCs/>
            <w:szCs w:val="24"/>
          </w:rPr>
          <w:t xml:space="preserve"> (2017</w:t>
        </w:r>
      </w:hyperlink>
      <w:r w:rsidRPr="00CB0352">
        <w:rPr>
          <w:rStyle w:val="Hyperlink"/>
          <w:b w:val="0"/>
          <w:bCs/>
          <w:szCs w:val="24"/>
        </w:rPr>
        <w:t>)</w:t>
      </w:r>
    </w:p>
  </w:footnote>
  <w:footnote w:id="3">
    <w:p w14:paraId="298DF51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When a ‘pass’ is awarded even though the standard for a pass has not been reached, usually when the margin of failure is small.</w:t>
      </w:r>
    </w:p>
  </w:footnote>
  <w:footnote w:id="4">
    <w:p w14:paraId="45FF897B"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Allowing failure by a small margin in a limited number of assessments on the basis of a satisfactory overall performance.  </w:t>
      </w:r>
    </w:p>
  </w:footnote>
  <w:footnote w:id="5">
    <w:p w14:paraId="774A1AA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Being able to start the next year of study when one or more assessments from the previous year have not yet been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A0" w14:textId="77777777" w:rsidR="000832F7" w:rsidRDefault="000832F7">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8"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003233"/>
    <w:multiLevelType w:val="hybridMultilevel"/>
    <w:tmpl w:val="FD0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3"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8"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6A2BC3"/>
    <w:multiLevelType w:val="hybridMultilevel"/>
    <w:tmpl w:val="9C8AF84E"/>
    <w:lvl w:ilvl="0" w:tplc="8BA00B8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8"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9"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BCB7087"/>
    <w:multiLevelType w:val="hybridMultilevel"/>
    <w:tmpl w:val="741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9"/>
  </w:num>
  <w:num w:numId="4">
    <w:abstractNumId w:val="7"/>
  </w:num>
  <w:num w:numId="5">
    <w:abstractNumId w:val="21"/>
  </w:num>
  <w:num w:numId="6">
    <w:abstractNumId w:val="4"/>
  </w:num>
  <w:num w:numId="7">
    <w:abstractNumId w:val="15"/>
  </w:num>
  <w:num w:numId="8">
    <w:abstractNumId w:val="5"/>
  </w:num>
  <w:num w:numId="9">
    <w:abstractNumId w:val="3"/>
  </w:num>
  <w:num w:numId="10">
    <w:abstractNumId w:val="2"/>
  </w:num>
  <w:num w:numId="11">
    <w:abstractNumId w:val="16"/>
  </w:num>
  <w:num w:numId="12">
    <w:abstractNumId w:val="1"/>
  </w:num>
  <w:num w:numId="13">
    <w:abstractNumId w:val="0"/>
  </w:num>
  <w:num w:numId="14">
    <w:abstractNumId w:val="22"/>
  </w:num>
  <w:num w:numId="15">
    <w:abstractNumId w:val="23"/>
  </w:num>
  <w:num w:numId="16">
    <w:abstractNumId w:val="8"/>
  </w:num>
  <w:num w:numId="17">
    <w:abstractNumId w:val="10"/>
  </w:num>
  <w:num w:numId="18">
    <w:abstractNumId w:val="25"/>
  </w:num>
  <w:num w:numId="19">
    <w:abstractNumId w:val="18"/>
  </w:num>
  <w:num w:numId="20">
    <w:abstractNumId w:val="13"/>
  </w:num>
  <w:num w:numId="21">
    <w:abstractNumId w:val="12"/>
  </w:num>
  <w:num w:numId="22">
    <w:abstractNumId w:val="28"/>
  </w:num>
  <w:num w:numId="23">
    <w:abstractNumId w:val="17"/>
  </w:num>
  <w:num w:numId="24">
    <w:abstractNumId w:val="20"/>
  </w:num>
  <w:num w:numId="25">
    <w:abstractNumId w:val="27"/>
  </w:num>
  <w:num w:numId="26">
    <w:abstractNumId w:val="6"/>
  </w:num>
  <w:num w:numId="27">
    <w:abstractNumId w:val="31"/>
  </w:num>
  <w:num w:numId="28">
    <w:abstractNumId w:val="19"/>
  </w:num>
  <w:num w:numId="29">
    <w:abstractNumId w:val="14"/>
  </w:num>
  <w:num w:numId="30">
    <w:abstractNumId w:val="9"/>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07E00"/>
    <w:rsid w:val="000262AF"/>
    <w:rsid w:val="0005232B"/>
    <w:rsid w:val="0005527F"/>
    <w:rsid w:val="00057A20"/>
    <w:rsid w:val="0007672A"/>
    <w:rsid w:val="000832F7"/>
    <w:rsid w:val="00095B1C"/>
    <w:rsid w:val="000A14C3"/>
    <w:rsid w:val="000A2B99"/>
    <w:rsid w:val="000A3D6E"/>
    <w:rsid w:val="000B21EC"/>
    <w:rsid w:val="000C1ABE"/>
    <w:rsid w:val="000F153B"/>
    <w:rsid w:val="00100311"/>
    <w:rsid w:val="00102650"/>
    <w:rsid w:val="0013728B"/>
    <w:rsid w:val="00167502"/>
    <w:rsid w:val="001704D6"/>
    <w:rsid w:val="001735A8"/>
    <w:rsid w:val="00177386"/>
    <w:rsid w:val="00187909"/>
    <w:rsid w:val="00195301"/>
    <w:rsid w:val="001A4F31"/>
    <w:rsid w:val="001A4F95"/>
    <w:rsid w:val="001A5733"/>
    <w:rsid w:val="001B7D28"/>
    <w:rsid w:val="001E1500"/>
    <w:rsid w:val="001E41A4"/>
    <w:rsid w:val="001F5EF0"/>
    <w:rsid w:val="00243AE8"/>
    <w:rsid w:val="00245B44"/>
    <w:rsid w:val="00257E2D"/>
    <w:rsid w:val="00265FD5"/>
    <w:rsid w:val="00287F27"/>
    <w:rsid w:val="002B3488"/>
    <w:rsid w:val="002C22BE"/>
    <w:rsid w:val="002C3BAC"/>
    <w:rsid w:val="002D2048"/>
    <w:rsid w:val="002D34A8"/>
    <w:rsid w:val="002D5741"/>
    <w:rsid w:val="002E22F7"/>
    <w:rsid w:val="002E4BDD"/>
    <w:rsid w:val="002E7495"/>
    <w:rsid w:val="00306D73"/>
    <w:rsid w:val="00306FFF"/>
    <w:rsid w:val="00317480"/>
    <w:rsid w:val="00327C1C"/>
    <w:rsid w:val="0033063B"/>
    <w:rsid w:val="00356C02"/>
    <w:rsid w:val="00365EE3"/>
    <w:rsid w:val="003834FF"/>
    <w:rsid w:val="00387F31"/>
    <w:rsid w:val="00394515"/>
    <w:rsid w:val="003A5F0A"/>
    <w:rsid w:val="003B04F8"/>
    <w:rsid w:val="003C5E4A"/>
    <w:rsid w:val="003D3662"/>
    <w:rsid w:val="003E721B"/>
    <w:rsid w:val="004006D7"/>
    <w:rsid w:val="00406455"/>
    <w:rsid w:val="00413CD0"/>
    <w:rsid w:val="00414734"/>
    <w:rsid w:val="0043212F"/>
    <w:rsid w:val="00432B40"/>
    <w:rsid w:val="0044770F"/>
    <w:rsid w:val="004500C4"/>
    <w:rsid w:val="004569FC"/>
    <w:rsid w:val="004666AF"/>
    <w:rsid w:val="0048377E"/>
    <w:rsid w:val="00493DE0"/>
    <w:rsid w:val="0049585D"/>
    <w:rsid w:val="004A30F8"/>
    <w:rsid w:val="004A3ED6"/>
    <w:rsid w:val="00500E07"/>
    <w:rsid w:val="00507F08"/>
    <w:rsid w:val="005167CA"/>
    <w:rsid w:val="00522048"/>
    <w:rsid w:val="00523E0C"/>
    <w:rsid w:val="0052486A"/>
    <w:rsid w:val="005273DD"/>
    <w:rsid w:val="00530CD3"/>
    <w:rsid w:val="005331A0"/>
    <w:rsid w:val="005351AB"/>
    <w:rsid w:val="00537079"/>
    <w:rsid w:val="0058214E"/>
    <w:rsid w:val="00582A4E"/>
    <w:rsid w:val="00591E80"/>
    <w:rsid w:val="00597225"/>
    <w:rsid w:val="005B6712"/>
    <w:rsid w:val="005C6457"/>
    <w:rsid w:val="005D0C95"/>
    <w:rsid w:val="005F3CFE"/>
    <w:rsid w:val="005F760B"/>
    <w:rsid w:val="0061096C"/>
    <w:rsid w:val="00647B07"/>
    <w:rsid w:val="00650D8D"/>
    <w:rsid w:val="006611B7"/>
    <w:rsid w:val="00671ED1"/>
    <w:rsid w:val="006732E3"/>
    <w:rsid w:val="006735C5"/>
    <w:rsid w:val="0067534B"/>
    <w:rsid w:val="00691E90"/>
    <w:rsid w:val="006A28A8"/>
    <w:rsid w:val="006A35D2"/>
    <w:rsid w:val="006B1452"/>
    <w:rsid w:val="006B1FC5"/>
    <w:rsid w:val="006E5460"/>
    <w:rsid w:val="006E603E"/>
    <w:rsid w:val="00703DB8"/>
    <w:rsid w:val="00705788"/>
    <w:rsid w:val="00706EFF"/>
    <w:rsid w:val="007200F6"/>
    <w:rsid w:val="007270C1"/>
    <w:rsid w:val="00741C47"/>
    <w:rsid w:val="00751837"/>
    <w:rsid w:val="00756300"/>
    <w:rsid w:val="0076049B"/>
    <w:rsid w:val="00767A96"/>
    <w:rsid w:val="00787E49"/>
    <w:rsid w:val="00793D06"/>
    <w:rsid w:val="007C4A15"/>
    <w:rsid w:val="007C628E"/>
    <w:rsid w:val="007C74E5"/>
    <w:rsid w:val="008024E9"/>
    <w:rsid w:val="00813F1C"/>
    <w:rsid w:val="00815717"/>
    <w:rsid w:val="00821751"/>
    <w:rsid w:val="00821B60"/>
    <w:rsid w:val="00823E56"/>
    <w:rsid w:val="008319E8"/>
    <w:rsid w:val="008408B5"/>
    <w:rsid w:val="008431FB"/>
    <w:rsid w:val="00856000"/>
    <w:rsid w:val="0086186D"/>
    <w:rsid w:val="00863456"/>
    <w:rsid w:val="00864D67"/>
    <w:rsid w:val="00875ADB"/>
    <w:rsid w:val="0088001E"/>
    <w:rsid w:val="00883453"/>
    <w:rsid w:val="00886C4E"/>
    <w:rsid w:val="008A2958"/>
    <w:rsid w:val="008A7798"/>
    <w:rsid w:val="008C28F8"/>
    <w:rsid w:val="008D3A97"/>
    <w:rsid w:val="008D69CD"/>
    <w:rsid w:val="008D7CBC"/>
    <w:rsid w:val="008E2651"/>
    <w:rsid w:val="008F7E71"/>
    <w:rsid w:val="00900A07"/>
    <w:rsid w:val="00913654"/>
    <w:rsid w:val="00913C3E"/>
    <w:rsid w:val="00917CF6"/>
    <w:rsid w:val="00922935"/>
    <w:rsid w:val="009275F6"/>
    <w:rsid w:val="009347CB"/>
    <w:rsid w:val="00937043"/>
    <w:rsid w:val="00944B35"/>
    <w:rsid w:val="0094577F"/>
    <w:rsid w:val="00946C8A"/>
    <w:rsid w:val="00951F71"/>
    <w:rsid w:val="00960FC0"/>
    <w:rsid w:val="00980D2B"/>
    <w:rsid w:val="009A561D"/>
    <w:rsid w:val="009C189B"/>
    <w:rsid w:val="009D59D4"/>
    <w:rsid w:val="009E207E"/>
    <w:rsid w:val="009F49EE"/>
    <w:rsid w:val="009F771C"/>
    <w:rsid w:val="009F7BE3"/>
    <w:rsid w:val="00A05D65"/>
    <w:rsid w:val="00A34E27"/>
    <w:rsid w:val="00A53FDB"/>
    <w:rsid w:val="00A62B06"/>
    <w:rsid w:val="00A8171F"/>
    <w:rsid w:val="00A929F6"/>
    <w:rsid w:val="00A9396A"/>
    <w:rsid w:val="00AA3BDF"/>
    <w:rsid w:val="00AA71C2"/>
    <w:rsid w:val="00AB087C"/>
    <w:rsid w:val="00AB2432"/>
    <w:rsid w:val="00AC29AC"/>
    <w:rsid w:val="00AC2DD3"/>
    <w:rsid w:val="00AD7A5D"/>
    <w:rsid w:val="00AF40E6"/>
    <w:rsid w:val="00AF5161"/>
    <w:rsid w:val="00AF63E1"/>
    <w:rsid w:val="00AF71C4"/>
    <w:rsid w:val="00B170A7"/>
    <w:rsid w:val="00B17826"/>
    <w:rsid w:val="00B17B78"/>
    <w:rsid w:val="00B26298"/>
    <w:rsid w:val="00B27A90"/>
    <w:rsid w:val="00B468CF"/>
    <w:rsid w:val="00B50DA9"/>
    <w:rsid w:val="00B52D7F"/>
    <w:rsid w:val="00BA0FE9"/>
    <w:rsid w:val="00BB476C"/>
    <w:rsid w:val="00BB60BC"/>
    <w:rsid w:val="00BC02B8"/>
    <w:rsid w:val="00BD0550"/>
    <w:rsid w:val="00BF3749"/>
    <w:rsid w:val="00BF6CEA"/>
    <w:rsid w:val="00C00CE9"/>
    <w:rsid w:val="00C1249B"/>
    <w:rsid w:val="00C21E1D"/>
    <w:rsid w:val="00C23BEA"/>
    <w:rsid w:val="00C53F5A"/>
    <w:rsid w:val="00C72AE8"/>
    <w:rsid w:val="00C8096A"/>
    <w:rsid w:val="00C841E6"/>
    <w:rsid w:val="00C96538"/>
    <w:rsid w:val="00CA0BF9"/>
    <w:rsid w:val="00CA2B97"/>
    <w:rsid w:val="00CA2D18"/>
    <w:rsid w:val="00CA36A3"/>
    <w:rsid w:val="00CA4967"/>
    <w:rsid w:val="00CB01C0"/>
    <w:rsid w:val="00CB5B3D"/>
    <w:rsid w:val="00CC3FD5"/>
    <w:rsid w:val="00CC5157"/>
    <w:rsid w:val="00CC7009"/>
    <w:rsid w:val="00CC78D8"/>
    <w:rsid w:val="00CD5B71"/>
    <w:rsid w:val="00CD6102"/>
    <w:rsid w:val="00CE2031"/>
    <w:rsid w:val="00CE40E9"/>
    <w:rsid w:val="00D17F26"/>
    <w:rsid w:val="00D27997"/>
    <w:rsid w:val="00D4503E"/>
    <w:rsid w:val="00D509AA"/>
    <w:rsid w:val="00D55661"/>
    <w:rsid w:val="00D5777A"/>
    <w:rsid w:val="00D71979"/>
    <w:rsid w:val="00D81359"/>
    <w:rsid w:val="00D912A6"/>
    <w:rsid w:val="00D95876"/>
    <w:rsid w:val="00DA0131"/>
    <w:rsid w:val="00DA5D61"/>
    <w:rsid w:val="00DA61B9"/>
    <w:rsid w:val="00DB1F5D"/>
    <w:rsid w:val="00DC03F0"/>
    <w:rsid w:val="00DF31D8"/>
    <w:rsid w:val="00E2341E"/>
    <w:rsid w:val="00E375FC"/>
    <w:rsid w:val="00E505CE"/>
    <w:rsid w:val="00E5642A"/>
    <w:rsid w:val="00E77DE8"/>
    <w:rsid w:val="00EB40BD"/>
    <w:rsid w:val="00ED556F"/>
    <w:rsid w:val="00EE3973"/>
    <w:rsid w:val="00EE5EF3"/>
    <w:rsid w:val="00EF37DD"/>
    <w:rsid w:val="00F17437"/>
    <w:rsid w:val="00F24F0E"/>
    <w:rsid w:val="00F3219D"/>
    <w:rsid w:val="00F44FC2"/>
    <w:rsid w:val="00F5273C"/>
    <w:rsid w:val="00F64D55"/>
    <w:rsid w:val="00F73373"/>
    <w:rsid w:val="00F7440D"/>
    <w:rsid w:val="00F8179D"/>
    <w:rsid w:val="00F8362C"/>
    <w:rsid w:val="00F84094"/>
    <w:rsid w:val="00F847F7"/>
    <w:rsid w:val="00F849C8"/>
    <w:rsid w:val="00F969A6"/>
    <w:rsid w:val="00FA1892"/>
    <w:rsid w:val="00FA52EA"/>
    <w:rsid w:val="00FB404C"/>
    <w:rsid w:val="00FC5E90"/>
    <w:rsid w:val="00FC724A"/>
    <w:rsid w:val="00FE3018"/>
    <w:rsid w:val="00FE5C70"/>
    <w:rsid w:val="00FE61E9"/>
    <w:rsid w:val="00FF4257"/>
    <w:rsid w:val="00F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3B"/>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uiPriority w:val="99"/>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uiPriority w:val="99"/>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uiPriority w:val="99"/>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uiPriority w:val="99"/>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1B7D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21758">
      <w:bodyDiv w:val="1"/>
      <w:marLeft w:val="0"/>
      <w:marRight w:val="0"/>
      <w:marTop w:val="0"/>
      <w:marBottom w:val="0"/>
      <w:divBdr>
        <w:top w:val="none" w:sz="0" w:space="0" w:color="auto"/>
        <w:left w:val="none" w:sz="0" w:space="0" w:color="auto"/>
        <w:bottom w:val="none" w:sz="0" w:space="0" w:color="auto"/>
        <w:right w:val="none" w:sz="0" w:space="0" w:color="auto"/>
      </w:divBdr>
    </w:div>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 w:id="18430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initial-education-and-training-of-pharmacists-january-2021_0.pdf" TargetMode="External"/><Relationship Id="rId5" Type="http://schemas.openxmlformats.org/officeDocument/2006/relationships/numbering" Target="numbering.xml"/><Relationship Id="rId15" Type="http://schemas.openxmlformats.org/officeDocument/2006/relationships/hyperlink" Target="https://www.caipe.org/resources/publications/caipe-publications/caipe-2017-interprofessional-education-guidelines-barr-h-ford-j-gray-r-helme-m-hutchings-m-low-h-machin-reev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tandards/standards-for-pharmacy-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McSimpson\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2B2865"/>
    <w:rsid w:val="0054171F"/>
    <w:rsid w:val="00985253"/>
    <w:rsid w:val="009E27E0"/>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3918A-10FF-4F6C-9940-77868EA37BDE}">
  <ds:schemaRefs>
    <ds:schemaRef ds:uri="http://schemas.microsoft.com/sharepoint/v3/contenttype/forms"/>
  </ds:schemaRefs>
</ds:datastoreItem>
</file>

<file path=customXml/itemProps3.xml><?xml version="1.0" encoding="utf-8"?>
<ds:datastoreItem xmlns:ds="http://schemas.openxmlformats.org/officeDocument/2006/customXml" ds:itemID="{72A27B63-1662-4F74-B370-47E4AF164A4A}">
  <ds:schemaRefs>
    <ds:schemaRef ds:uri="http://purl.org/dc/terms/"/>
    <ds:schemaRef ds:uri="http://schemas.microsoft.com/office/2006/metadata/properties"/>
    <ds:schemaRef ds:uri="http://schemas.microsoft.com/office/2006/documentManagement/types"/>
    <ds:schemaRef ds:uri="6c5b9679-15ec-428d-8270-0fea7a67e815"/>
    <ds:schemaRef ds:uri="http://purl.org/dc/elements/1.1/"/>
    <ds:schemaRef ds:uri="http://schemas.openxmlformats.org/package/2006/metadata/core-properties"/>
    <ds:schemaRef ds:uri="http://schemas.microsoft.com/office/infopath/2007/PartnerControls"/>
    <ds:schemaRef ds:uri="9a6e0511-9434-45dd-b0ff-990b633dd984"/>
    <ds:schemaRef ds:uri="http://www.w3.org/XML/1998/namespace"/>
    <ds:schemaRef ds:uri="http://purl.org/dc/dcmitype/"/>
  </ds:schemaRefs>
</ds:datastoreItem>
</file>

<file path=customXml/itemProps4.xml><?xml version="1.0" encoding="utf-8"?>
<ds:datastoreItem xmlns:ds="http://schemas.openxmlformats.org/officeDocument/2006/customXml" ds:itemID="{2AFD3939-9EBE-4306-8E17-0A5BFFFC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4</TotalTime>
  <Pages>42</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Part 1 Reaccreditation of a Master of Pharmacy (MPharm) degree programme, 2021-22 academic year</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accreditation of a Master of Pharmacy (MPharm) degree programme, 2021/22 academic year</dc:title>
  <dc:subject/>
  <dc:creator>Chris McKendrick</dc:creator>
  <cp:keywords/>
  <dc:description/>
  <cp:lastModifiedBy>Philippa McSimpson</cp:lastModifiedBy>
  <cp:revision>6</cp:revision>
  <dcterms:created xsi:type="dcterms:W3CDTF">2022-01-26T08:51:00Z</dcterms:created>
  <dcterms:modified xsi:type="dcterms:W3CDTF">2022-01-26T09:04:00Z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