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1069358" w:displacedByCustomXml="next"/>
    <w:sdt>
      <w:sdtPr>
        <w:alias w:val="Title"/>
        <w:tag w:val="Title Body"/>
        <w:id w:val="-1053239312"/>
        <w:placeholder>
          <w:docPart w:val="09E457E0C9564C378B3A6738D0AD8A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936E63" w14:textId="23C3E4DC" w:rsidR="005F3CFE" w:rsidRDefault="00721887" w:rsidP="00CB5B3D">
          <w:pPr>
            <w:pStyle w:val="Title"/>
          </w:pPr>
          <w:r>
            <w:t>Re/accreditation/recognition of a pharmacy support staff training course(s), part 3, National Occupational Standards, 2021-22 academic year</w:t>
          </w:r>
        </w:p>
      </w:sdtContent>
    </w:sdt>
    <w:bookmarkEnd w:id="0"/>
    <w:p w14:paraId="324075B3" w14:textId="1FE5C6F5" w:rsidR="004006D7" w:rsidRPr="009A561D" w:rsidRDefault="004006D7" w:rsidP="00917CF6">
      <w:pPr>
        <w:rPr>
          <w:b/>
          <w:bCs/>
          <w:color w:val="563C75" w:themeColor="text2"/>
          <w:sz w:val="48"/>
          <w:szCs w:val="48"/>
        </w:rPr>
      </w:pPr>
      <w:r w:rsidRPr="009A561D">
        <w:rPr>
          <w:b/>
          <w:bCs/>
          <w:color w:val="563C75" w:themeColor="text2"/>
          <w:sz w:val="48"/>
          <w:szCs w:val="48"/>
        </w:rPr>
        <w:t xml:space="preserve">Submission template </w:t>
      </w:r>
      <w:r w:rsidR="00C72AE8">
        <w:rPr>
          <w:b/>
          <w:bCs/>
          <w:color w:val="563C75" w:themeColor="text2"/>
          <w:sz w:val="48"/>
          <w:szCs w:val="48"/>
        </w:rPr>
        <w:t>v1.1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306238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B076C8" w14:textId="77777777" w:rsidR="009A561D" w:rsidRPr="0007672A" w:rsidRDefault="009A561D" w:rsidP="009A561D">
          <w:pPr>
            <w:pStyle w:val="TOCHeading"/>
            <w:rPr>
              <w:sz w:val="36"/>
              <w:szCs w:val="36"/>
            </w:rPr>
          </w:pPr>
          <w:r w:rsidRPr="0007672A">
            <w:rPr>
              <w:sz w:val="36"/>
              <w:szCs w:val="36"/>
            </w:rPr>
            <w:t>Contents</w:t>
          </w:r>
        </w:p>
        <w:bookmarkStart w:id="1" w:name="_GoBack"/>
        <w:bookmarkEnd w:id="1"/>
        <w:p w14:paraId="0473A68C" w14:textId="28A3C7EB" w:rsidR="009B35C0" w:rsidRDefault="009A561D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rPr>
              <w:color w:val="00759B" w:themeColor="accent1"/>
            </w:rPr>
            <w:fldChar w:fldCharType="begin"/>
          </w:r>
          <w:r>
            <w:instrText xml:space="preserve"> TOC \o "1-3" \h \z \u </w:instrText>
          </w:r>
          <w:r>
            <w:rPr>
              <w:color w:val="00759B" w:themeColor="accent1"/>
            </w:rPr>
            <w:fldChar w:fldCharType="separate"/>
          </w:r>
          <w:hyperlink w:anchor="_Toc80888278" w:history="1">
            <w:r w:rsidR="009B35C0" w:rsidRPr="005942E6">
              <w:rPr>
                <w:rStyle w:val="Hyperlink"/>
                <w:noProof/>
                <w:lang w:eastAsia="en-GB"/>
              </w:rPr>
              <w:t>Important please read the guidance below before completing the template</w:t>
            </w:r>
            <w:r w:rsidR="009B35C0">
              <w:rPr>
                <w:noProof/>
                <w:webHidden/>
              </w:rPr>
              <w:tab/>
            </w:r>
            <w:r w:rsidR="009B35C0">
              <w:rPr>
                <w:noProof/>
                <w:webHidden/>
              </w:rPr>
              <w:fldChar w:fldCharType="begin"/>
            </w:r>
            <w:r w:rsidR="009B35C0">
              <w:rPr>
                <w:noProof/>
                <w:webHidden/>
              </w:rPr>
              <w:instrText xml:space="preserve"> PAGEREF _Toc80888278 \h </w:instrText>
            </w:r>
            <w:r w:rsidR="009B35C0">
              <w:rPr>
                <w:noProof/>
                <w:webHidden/>
              </w:rPr>
            </w:r>
            <w:r w:rsidR="009B35C0">
              <w:rPr>
                <w:noProof/>
                <w:webHidden/>
              </w:rPr>
              <w:fldChar w:fldCharType="separate"/>
            </w:r>
            <w:r w:rsidR="009B35C0">
              <w:rPr>
                <w:noProof/>
                <w:webHidden/>
              </w:rPr>
              <w:t>3</w:t>
            </w:r>
            <w:r w:rsidR="009B35C0">
              <w:rPr>
                <w:noProof/>
                <w:webHidden/>
              </w:rPr>
              <w:fldChar w:fldCharType="end"/>
            </w:r>
          </w:hyperlink>
        </w:p>
        <w:p w14:paraId="63C8FC7C" w14:textId="3A701E73" w:rsidR="009B35C0" w:rsidRDefault="009B35C0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79" w:history="1">
            <w:r w:rsidRPr="005942E6">
              <w:rPr>
                <w:rStyle w:val="Hyperlink"/>
                <w:noProof/>
              </w:rPr>
              <w:t>Background programme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B00A8" w14:textId="12D49DB1" w:rsidR="009B35C0" w:rsidRDefault="009B35C0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0" w:history="1">
            <w:r w:rsidRPr="005942E6">
              <w:rPr>
                <w:rStyle w:val="Hyperlink"/>
                <w:rFonts w:ascii="Calibri" w:eastAsia="Times New Roman" w:hAnsi="Calibri" w:cs="Times New Roman"/>
                <w:b/>
                <w:noProof/>
                <w:lang w:bidi="en-US"/>
              </w:rPr>
              <w:t>Part 3: Role-specific learning outcomes (National Occupational Standards)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4FE2D" w14:textId="4D159648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1" w:history="1">
            <w:r w:rsidRPr="005942E6">
              <w:rPr>
                <w:rStyle w:val="Hyperlink"/>
                <w:noProof/>
              </w:rPr>
              <w:t>PHARM01 - Assist with the provision of a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7F9AF" w14:textId="47EDEBA7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2" w:history="1">
            <w:r w:rsidRPr="005942E6">
              <w:rPr>
                <w:rStyle w:val="Hyperlink"/>
                <w:rFonts w:eastAsia="Calibri" w:cs="Calibri"/>
                <w:noProof/>
              </w:rPr>
              <w:t>PHARM02 - Provide an effective and responsive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299A6" w14:textId="68659A39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3" w:history="1">
            <w:r w:rsidRPr="005942E6">
              <w:rPr>
                <w:rStyle w:val="Hyperlink"/>
                <w:rFonts w:eastAsia="Calibri" w:cs="Calibri"/>
                <w:noProof/>
              </w:rPr>
              <w:t>PHARM03 - Respond to pharmaceutical queries and requests for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D3E6F" w14:textId="770395C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4" w:history="1">
            <w:r w:rsidRPr="005942E6">
              <w:rPr>
                <w:rStyle w:val="Hyperlink"/>
                <w:rFonts w:eastAsia="Calibri" w:cs="Calibri"/>
                <w:noProof/>
              </w:rPr>
              <w:t>PHARM04 - Provide advice on non-prescribed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10CF4" w14:textId="329C2399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5" w:history="1">
            <w:r w:rsidRPr="005942E6">
              <w:rPr>
                <w:rStyle w:val="Hyperlink"/>
                <w:rFonts w:eastAsia="Calibri" w:cs="Calibri"/>
                <w:noProof/>
              </w:rPr>
              <w:t>PHARM07 - Receive prescriptions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AC44F" w14:textId="28420C9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6" w:history="1">
            <w:r w:rsidRPr="005942E6">
              <w:rPr>
                <w:rStyle w:val="Hyperlink"/>
                <w:rFonts w:eastAsia="Calibri" w:cs="Calibri"/>
                <w:noProof/>
              </w:rPr>
              <w:t>PHARM08 - Confirm prescription validity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9D21C" w14:textId="7943BC09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7" w:history="1">
            <w:r w:rsidRPr="005942E6">
              <w:rPr>
                <w:rStyle w:val="Hyperlink"/>
                <w:rFonts w:eastAsia="Calibri" w:cs="Calibri"/>
                <w:noProof/>
              </w:rPr>
              <w:t>PHARM09 - Assemble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E339E" w14:textId="6C743BD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8" w:history="1">
            <w:r w:rsidRPr="005942E6">
              <w:rPr>
                <w:rStyle w:val="Hyperlink"/>
                <w:rFonts w:eastAsia="Calibri" w:cs="Calibri"/>
                <w:noProof/>
              </w:rPr>
              <w:t>PHARM10 - Issue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F1E20" w14:textId="157F617C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89" w:history="1">
            <w:r w:rsidRPr="005942E6">
              <w:rPr>
                <w:rStyle w:val="Hyperlink"/>
                <w:rFonts w:eastAsia="Calibri" w:cs="Calibri"/>
                <w:noProof/>
              </w:rPr>
              <w:t>PHARM11 - Prepare extemporaneous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3706A" w14:textId="764E9813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0" w:history="1">
            <w:r w:rsidRPr="005942E6">
              <w:rPr>
                <w:rStyle w:val="Hyperlink"/>
                <w:rFonts w:eastAsia="Calibri" w:cs="Calibri"/>
                <w:noProof/>
              </w:rPr>
              <w:t>PHARM12 - Order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C7496" w14:textId="1348A51C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1" w:history="1">
            <w:r w:rsidRPr="005942E6">
              <w:rPr>
                <w:rStyle w:val="Hyperlink"/>
                <w:rFonts w:eastAsia="Calibri" w:cs="Calibri"/>
                <w:noProof/>
              </w:rPr>
              <w:t>PHARM13 - Receive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195C7" w14:textId="41AB9B45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2" w:history="1">
            <w:r w:rsidRPr="005942E6">
              <w:rPr>
                <w:rStyle w:val="Hyperlink"/>
                <w:rFonts w:eastAsia="Calibri" w:cs="Calibri"/>
                <w:noProof/>
              </w:rPr>
              <w:t>PHARM14 - Maintain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BD3BB" w14:textId="232DB9D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3" w:history="1">
            <w:r w:rsidRPr="005942E6">
              <w:rPr>
                <w:rStyle w:val="Hyperlink"/>
                <w:rFonts w:eastAsia="Calibri" w:cs="Calibri"/>
                <w:noProof/>
              </w:rPr>
              <w:t>PHARM15 - Supply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657A5" w14:textId="24B0DA45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4" w:history="1">
            <w:r w:rsidRPr="005942E6">
              <w:rPr>
                <w:rStyle w:val="Hyperlink"/>
                <w:rFonts w:eastAsia="Calibri" w:cs="Calibri"/>
                <w:noProof/>
              </w:rPr>
              <w:t>PHARM17 - Manufacture and assemble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D1CF3" w14:textId="3AD7C617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5" w:history="1">
            <w:r w:rsidRPr="005942E6">
              <w:rPr>
                <w:rStyle w:val="Hyperlink"/>
                <w:rFonts w:eastAsia="Calibri" w:cs="Calibri"/>
                <w:noProof/>
              </w:rPr>
              <w:t>PHARM19</w:t>
            </w:r>
            <w:r w:rsidRPr="005942E6">
              <w:rPr>
                <w:rStyle w:val="Hyperlink"/>
                <w:rFonts w:eastAsia="Calibri" w:cs="Calibri"/>
                <w:bCs/>
                <w:noProof/>
              </w:rPr>
              <w:t xml:space="preserve"> </w:t>
            </w:r>
            <w:r w:rsidRPr="005942E6">
              <w:rPr>
                <w:rStyle w:val="Hyperlink"/>
                <w:rFonts w:eastAsia="Calibri" w:cs="Calibri"/>
                <w:noProof/>
              </w:rPr>
              <w:t>- Prepare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C5F1C" w14:textId="7D31A027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6" w:history="1">
            <w:r w:rsidRPr="005942E6">
              <w:rPr>
                <w:rStyle w:val="Hyperlink"/>
                <w:rFonts w:eastAsia="Calibri" w:cs="Calibri"/>
                <w:noProof/>
              </w:rPr>
              <w:t>PHARM20 - Prepare documentation and materials for the manufacture and assembly of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97DED" w14:textId="12AAC60D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7" w:history="1">
            <w:r w:rsidRPr="005942E6">
              <w:rPr>
                <w:rStyle w:val="Hyperlink"/>
                <w:rFonts w:eastAsia="Calibri" w:cs="Calibri"/>
                <w:noProof/>
              </w:rPr>
              <w:t>PHARM21 - Prepare documentation and materials for the production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0D540" w14:textId="64D864EF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8" w:history="1">
            <w:r w:rsidRPr="005942E6">
              <w:rPr>
                <w:rStyle w:val="Hyperlink"/>
                <w:rFonts w:eastAsia="Calibri" w:cs="Calibri"/>
                <w:noProof/>
              </w:rPr>
              <w:t>PHARM23 - Check documentation and materials prior to the preparation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1BE4F" w14:textId="218C0370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299" w:history="1">
            <w:r w:rsidRPr="005942E6">
              <w:rPr>
                <w:rStyle w:val="Hyperlink"/>
                <w:rFonts w:eastAsia="Calibri" w:cs="Calibri"/>
                <w:noProof/>
              </w:rPr>
              <w:t>PHARM24 - Provide an effective pharmacy collection and delivery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EB02B" w14:textId="0FAF196D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0" w:history="1">
            <w:r w:rsidRPr="005942E6">
              <w:rPr>
                <w:rStyle w:val="Hyperlink"/>
                <w:rFonts w:eastAsia="Calibri" w:cs="Calibri"/>
                <w:noProof/>
              </w:rPr>
              <w:t>PHARM25 - Supply dressings and appliances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948CB" w14:textId="498E093E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1" w:history="1">
            <w:r w:rsidRPr="005942E6">
              <w:rPr>
                <w:rStyle w:val="Hyperlink"/>
                <w:rFonts w:eastAsia="Calibri"/>
                <w:noProof/>
              </w:rPr>
              <w:t>PHARM26 - Process pharmacy information for appropriate reimbursement and remuneration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A9884" w14:textId="25F49A2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2" w:history="1">
            <w:r w:rsidRPr="005942E6">
              <w:rPr>
                <w:rStyle w:val="Hyperlink"/>
                <w:rFonts w:eastAsia="Calibri"/>
                <w:noProof/>
              </w:rPr>
              <w:t>PHARM28 - Undertake the final accuracy check of dispensed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9FB10" w14:textId="7969246A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3" w:history="1">
            <w:r w:rsidRPr="005942E6">
              <w:rPr>
                <w:rStyle w:val="Hyperlink"/>
                <w:rFonts w:eastAsia="Calibri"/>
                <w:noProof/>
              </w:rPr>
              <w:t>PHARM29 - Retrieve and reconcile information about an individual’s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15900" w14:textId="55EFBF91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4" w:history="1">
            <w:r w:rsidRPr="005942E6">
              <w:rPr>
                <w:rStyle w:val="Hyperlink"/>
                <w:rFonts w:eastAsia="Calibri" w:cs="Calibri"/>
                <w:noProof/>
              </w:rPr>
              <w:t>PHARM31 - Confirm the suitability of an individual's medicines for use and ensure sufficient supply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013B8" w14:textId="41BAB7C7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5" w:history="1">
            <w:r w:rsidRPr="005942E6">
              <w:rPr>
                <w:rStyle w:val="Hyperlink"/>
                <w:rFonts w:eastAsia="Calibri" w:cs="Calibri"/>
                <w:noProof/>
              </w:rPr>
              <w:t>PHARM32</w:t>
            </w:r>
            <w:r w:rsidRPr="005942E6">
              <w:rPr>
                <w:rStyle w:val="Hyperlink"/>
                <w:rFonts w:eastAsia="Calibri" w:cs="Calibri"/>
                <w:bCs/>
                <w:noProof/>
              </w:rPr>
              <w:t xml:space="preserve"> - </w:t>
            </w:r>
            <w:r w:rsidRPr="005942E6">
              <w:rPr>
                <w:rStyle w:val="Hyperlink"/>
                <w:rFonts w:eastAsia="Calibri" w:cs="Calibri"/>
                <w:noProof/>
              </w:rPr>
              <w:t>Assist in the issuing of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12E97" w14:textId="55044D2D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6" w:history="1">
            <w:r w:rsidRPr="005942E6">
              <w:rPr>
                <w:rStyle w:val="Hyperlink"/>
                <w:rFonts w:eastAsia="Calibri" w:cs="Calibri"/>
                <w:noProof/>
              </w:rPr>
              <w:t>PHARM33 - Order medicines and products for individuals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55243" w14:textId="14EF2422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7" w:history="1">
            <w:r w:rsidRPr="005942E6">
              <w:rPr>
                <w:rStyle w:val="Hyperlink"/>
                <w:rFonts w:asciiTheme="majorHAnsi" w:eastAsiaTheme="majorEastAsia" w:hAnsiTheme="majorHAnsi" w:cstheme="majorBidi"/>
                <w:b/>
                <w:noProof/>
              </w:rPr>
              <w:t>Additional technical outcomes not covered by the pharmacy suite of NOS’s</w:t>
            </w:r>
            <w:r w:rsidRPr="005942E6">
              <w:rPr>
                <w:rStyle w:val="Hyperlink"/>
                <w:rFonts w:ascii="Calibri" w:eastAsia="Times New Roman" w:hAnsi="Calibri" w:cs="Calibri"/>
                <w:b/>
                <w:noProof/>
              </w:rPr>
              <w:t xml:space="preserve"> (delete section if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1B47A" w14:textId="625F3723" w:rsidR="009B35C0" w:rsidRDefault="009B35C0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80888308" w:history="1">
            <w:r w:rsidRPr="005942E6">
              <w:rPr>
                <w:rStyle w:val="Hyperlink"/>
                <w:rFonts w:eastAsia="Times New Roman"/>
                <w:noProof/>
                <w:lang w:bidi="en-US"/>
              </w:rPr>
              <w:t>Submitting your documentation to the GPhC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_Toc80888308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A1500" w14:textId="78156184" w:rsidR="004A30F8" w:rsidRDefault="009A561D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56934F" w14:textId="77777777" w:rsidR="004A30F8" w:rsidRDefault="004A30F8" w:rsidP="004A30F8">
      <w:pPr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</w:pPr>
      <w:r w:rsidRPr="00332EDD">
        <w:rPr>
          <w:rFonts w:ascii="Calibri" w:hAnsi="Calibri" w:cstheme="minorHAnsi"/>
          <w:b/>
          <w:bCs/>
          <w:sz w:val="28"/>
          <w:szCs w:val="28"/>
          <w:u w:val="single"/>
          <w:lang w:eastAsia="en-GB"/>
        </w:rPr>
        <w:t>Please update contents table before submitting to the GPhC (right click update field).</w:t>
      </w:r>
    </w:p>
    <w:p w14:paraId="7913DFD4" w14:textId="527D5FEA" w:rsidR="004006D7" w:rsidRDefault="004006D7">
      <w:r>
        <w:br w:type="page"/>
      </w:r>
    </w:p>
    <w:p w14:paraId="6BF19E54" w14:textId="417FAF62" w:rsidR="004A30F8" w:rsidRPr="00DC575A" w:rsidRDefault="004A30F8" w:rsidP="004A30F8">
      <w:pPr>
        <w:pStyle w:val="Heading1"/>
        <w:rPr>
          <w:sz w:val="28"/>
          <w:szCs w:val="14"/>
          <w:lang w:eastAsia="en-GB"/>
        </w:rPr>
      </w:pPr>
      <w:bookmarkStart w:id="2" w:name="_Toc80706910"/>
      <w:bookmarkStart w:id="3" w:name="_Toc80888278"/>
      <w:r w:rsidRPr="00B1385B">
        <w:rPr>
          <w:sz w:val="28"/>
          <w:szCs w:val="14"/>
          <w:u w:val="single"/>
          <w:lang w:eastAsia="en-GB"/>
        </w:rPr>
        <w:lastRenderedPageBreak/>
        <w:t>Important</w:t>
      </w:r>
      <w:r w:rsidR="00AB2432">
        <w:rPr>
          <w:sz w:val="28"/>
          <w:szCs w:val="14"/>
          <w:lang w:eastAsia="en-GB"/>
        </w:rPr>
        <w:t xml:space="preserve"> </w:t>
      </w:r>
      <w:r w:rsidRPr="00B1385B">
        <w:rPr>
          <w:sz w:val="28"/>
          <w:szCs w:val="14"/>
          <w:lang w:eastAsia="en-GB"/>
        </w:rPr>
        <w:t>please read the guidance below before completing the template</w:t>
      </w:r>
      <w:bookmarkEnd w:id="2"/>
      <w:bookmarkEnd w:id="3"/>
      <w:r w:rsidRPr="00B1385B">
        <w:rPr>
          <w:sz w:val="28"/>
          <w:szCs w:val="14"/>
          <w:lang w:eastAsia="en-GB"/>
        </w:rPr>
        <w:t xml:space="preserve"> </w:t>
      </w:r>
    </w:p>
    <w:tbl>
      <w:tblPr>
        <w:tblW w:w="0" w:type="auto"/>
        <w:tblBorders>
          <w:top w:val="single" w:sz="12" w:space="0" w:color="007DB1"/>
          <w:left w:val="single" w:sz="12" w:space="0" w:color="007DB1"/>
          <w:bottom w:val="single" w:sz="12" w:space="0" w:color="007DB1"/>
          <w:right w:val="single" w:sz="12" w:space="0" w:color="007DB1"/>
          <w:insideH w:val="single" w:sz="12" w:space="0" w:color="007DB1"/>
          <w:insideV w:val="single" w:sz="12" w:space="0" w:color="007DB1"/>
        </w:tblBorders>
        <w:tblLook w:val="04A0" w:firstRow="1" w:lastRow="0" w:firstColumn="1" w:lastColumn="0" w:noHBand="0" w:noVBand="1"/>
      </w:tblPr>
      <w:tblGrid>
        <w:gridCol w:w="10174"/>
      </w:tblGrid>
      <w:tr w:rsidR="0094577F" w:rsidRPr="004F533E" w14:paraId="6A12361D" w14:textId="77777777" w:rsidTr="009347CB">
        <w:tc>
          <w:tcPr>
            <w:tcW w:w="10174" w:type="dxa"/>
          </w:tcPr>
          <w:p w14:paraId="6C2621C8" w14:textId="77777777" w:rsidR="0094577F" w:rsidRDefault="0094577F" w:rsidP="009347CB">
            <w:pPr>
              <w:rPr>
                <w:b/>
                <w:bCs/>
                <w:color w:val="00759B" w:themeColor="accent1"/>
              </w:rPr>
            </w:pPr>
          </w:p>
          <w:p w14:paraId="1611D0C9" w14:textId="7AD1BD4C" w:rsidR="00821B60" w:rsidRPr="00821B60" w:rsidRDefault="00317480" w:rsidP="009347CB">
            <w:pPr>
              <w:rPr>
                <w:rFonts w:ascii="Calibri" w:hAnsi="Calibri" w:cs="Arial"/>
                <w:b/>
                <w:color w:val="00759B" w:themeColor="accent1"/>
              </w:rPr>
            </w:pPr>
            <w:r w:rsidRPr="00821B60">
              <w:rPr>
                <w:rFonts w:ascii="Calibri" w:hAnsi="Calibri" w:cs="Arial"/>
                <w:b/>
                <w:color w:val="00759B" w:themeColor="accent1"/>
              </w:rPr>
              <w:t xml:space="preserve">This template should be used to demonstrate how your </w:t>
            </w:r>
            <w:r w:rsidR="00DE324B">
              <w:rPr>
                <w:rFonts w:ascii="Calibri" w:hAnsi="Calibri" w:cs="Arial"/>
                <w:b/>
                <w:color w:val="00759B" w:themeColor="accent1"/>
              </w:rPr>
              <w:t>course(s)</w:t>
            </w:r>
            <w:r w:rsidRPr="00821B60">
              <w:rPr>
                <w:rFonts w:ascii="Calibri" w:hAnsi="Calibri" w:cs="Arial"/>
                <w:b/>
                <w:color w:val="00759B" w:themeColor="accent1"/>
              </w:rPr>
              <w:t xml:space="preserve"> and institution will meet (or continue to meet) </w:t>
            </w:r>
            <w:r w:rsidR="00DE324B" w:rsidRPr="00DE324B">
              <w:rPr>
                <w:rFonts w:ascii="Calibri" w:hAnsi="Calibri" w:cs="Arial"/>
                <w:b/>
                <w:color w:val="00759B" w:themeColor="accent1"/>
              </w:rPr>
              <w:t xml:space="preserve">the </w:t>
            </w:r>
            <w:hyperlink r:id="rId11" w:history="1">
              <w:r w:rsidR="00DE324B" w:rsidRPr="00DE324B">
                <w:rPr>
                  <w:rStyle w:val="Hyperlink"/>
                  <w:rFonts w:ascii="Calibri" w:hAnsi="Calibri" w:cs="Arial"/>
                  <w:color w:val="00759B" w:themeColor="accent1"/>
                </w:rPr>
                <w:t>Requirements for the education and training of pharmacy support staff – October 2021</w:t>
              </w:r>
            </w:hyperlink>
            <w:r w:rsidR="00DE324B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1704D6">
              <w:rPr>
                <w:rFonts w:ascii="Calibri" w:hAnsi="Calibri" w:cs="Arial"/>
                <w:b/>
                <w:color w:val="00759B" w:themeColor="accent1"/>
              </w:rPr>
              <w:t>in relation to your</w:t>
            </w:r>
            <w:r w:rsidR="00813F1C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DE324B">
              <w:rPr>
                <w:rFonts w:ascii="Calibri" w:hAnsi="Calibri" w:cs="Arial"/>
                <w:b/>
                <w:color w:val="00759B" w:themeColor="accent1"/>
              </w:rPr>
              <w:t>support staff course offering(s)</w:t>
            </w:r>
            <w:r w:rsidR="001704D6">
              <w:rPr>
                <w:rFonts w:ascii="Calibri" w:hAnsi="Calibri" w:cs="Arial"/>
                <w:b/>
                <w:color w:val="00759B" w:themeColor="accent1"/>
              </w:rPr>
              <w:t>.</w:t>
            </w:r>
          </w:p>
          <w:p w14:paraId="27B002C8" w14:textId="77777777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The technical knowledge and skills content of the course/qualification must be derived from, and mapped to, an appropriate national framework for pharmacy knowledge and skills recognised in the UK. </w:t>
            </w:r>
          </w:p>
          <w:p w14:paraId="26678C1F" w14:textId="764D83A3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This document has been populated with the 26 recognised National Occupational Standards (NOS) specific to pharmacy. This document should be completed where a </w:t>
            </w:r>
            <w:r>
              <w:rPr>
                <w:rFonts w:cstheme="minorHAnsi"/>
                <w:bCs/>
                <w:color w:val="00759B"/>
                <w:lang w:bidi="en-US"/>
              </w:rPr>
              <w:t>course/</w:t>
            </w:r>
            <w:r w:rsidRPr="00D16D89">
              <w:rPr>
                <w:rFonts w:cstheme="minorHAnsi"/>
                <w:bCs/>
                <w:color w:val="00759B"/>
                <w:lang w:bidi="en-US"/>
              </w:rPr>
              <w:t>qualification has been developed to meet NOS</w:t>
            </w:r>
            <w:r w:rsidR="005641BA">
              <w:rPr>
                <w:rFonts w:cstheme="minorHAnsi"/>
                <w:bCs/>
                <w:color w:val="00759B"/>
                <w:lang w:bidi="en-US"/>
              </w:rPr>
              <w:t>’s</w:t>
            </w: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 only. </w:t>
            </w:r>
          </w:p>
          <w:p w14:paraId="6D775674" w14:textId="63D59EED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Should the whole NOS not be used due to overlap or repartition please identify any components of a NOS that are not included. If the role requirements are wider than the listed pharmacy suite NOS, providers will need to map to another NOS using the same format. </w:t>
            </w:r>
            <w:r w:rsidRPr="005641BA">
              <w:rPr>
                <w:rFonts w:cstheme="minorHAnsi"/>
                <w:b/>
                <w:color w:val="00759B"/>
                <w:u w:val="single"/>
                <w:lang w:bidi="en-US"/>
              </w:rPr>
              <w:t>NOS units that have not been used in the design of the course/qualification should be deleted from this template.</w:t>
            </w:r>
          </w:p>
          <w:p w14:paraId="163C8E23" w14:textId="77777777" w:rsidR="00D16D89" w:rsidRPr="005641BA" w:rsidRDefault="00D16D89" w:rsidP="00D16D89">
            <w:pPr>
              <w:pStyle w:val="BodyText"/>
              <w:rPr>
                <w:rFonts w:cstheme="minorHAnsi"/>
                <w:b/>
                <w:color w:val="00759B"/>
                <w:u w:val="single"/>
                <w:lang w:bidi="en-US"/>
              </w:rPr>
            </w:pPr>
            <w:r w:rsidRPr="005641BA">
              <w:rPr>
                <w:rFonts w:cstheme="minorHAnsi"/>
                <w:b/>
                <w:color w:val="00759B"/>
                <w:u w:val="single"/>
                <w:lang w:bidi="en-US"/>
              </w:rPr>
              <w:t>This part 3 submission document should be complemented by a curriculum mapping document included as an appendix.</w:t>
            </w:r>
          </w:p>
          <w:p w14:paraId="2A432D61" w14:textId="36A62B4C" w:rsidR="00D16D89" w:rsidRDefault="00D16D89" w:rsidP="004F5722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>Please note that the NOS PHARM identifier codes are hyperlinked to the most up to date versions available on the Skills for Health website. If the course/qualification uses NOS from outside of the PHARM suite, please include a hyperlink in the same format.</w:t>
            </w:r>
          </w:p>
          <w:p w14:paraId="4CC2B287" w14:textId="1F23778F" w:rsidR="004F5722" w:rsidRPr="006E603E" w:rsidRDefault="004F5722" w:rsidP="004F5722">
            <w:pPr>
              <w:pStyle w:val="BodyText"/>
              <w:rPr>
                <w:b/>
                <w:color w:val="00759B" w:themeColor="accent1"/>
              </w:rPr>
            </w:pPr>
            <w:r>
              <w:rPr>
                <w:rFonts w:cstheme="minorHAnsi"/>
                <w:b/>
                <w:bCs/>
                <w:color w:val="00759B"/>
                <w:u w:val="single"/>
                <w:lang w:bidi="en-US"/>
              </w:rPr>
              <w:t>There must be one part 3 submission per course/qualification.</w:t>
            </w:r>
          </w:p>
          <w:p w14:paraId="7DDB43D3" w14:textId="06E39EB2" w:rsidR="006E603E" w:rsidRPr="006E603E" w:rsidRDefault="006E603E" w:rsidP="006E603E">
            <w:pPr>
              <w:rPr>
                <w:rStyle w:val="Hyperlink"/>
                <w:rFonts w:ascii="Calibri" w:hAnsi="Calibri" w:cs="Arial"/>
                <w:b w:val="0"/>
                <w:color w:val="00759B" w:themeColor="accent1"/>
              </w:rPr>
            </w:pPr>
            <w:r w:rsidRPr="006E603E">
              <w:rPr>
                <w:rFonts w:ascii="Calibri" w:hAnsi="Calibri" w:cs="Arial"/>
                <w:b/>
                <w:color w:val="00759B" w:themeColor="accent1"/>
              </w:rPr>
              <w:t xml:space="preserve">If you have any questions regarding your submission, please contact the GPhC’s Education (Quality Assurance) team at </w:t>
            </w:r>
            <w:hyperlink r:id="rId12" w:history="1">
              <w:r w:rsidRPr="006E603E">
                <w:rPr>
                  <w:rStyle w:val="Hyperlink"/>
                  <w:rFonts w:ascii="Calibri" w:hAnsi="Calibri" w:cs="Arial"/>
                  <w:b w:val="0"/>
                  <w:color w:val="00759B" w:themeColor="accent1"/>
                </w:rPr>
                <w:t>education@pharmacyregulation.org</w:t>
              </w:r>
            </w:hyperlink>
          </w:p>
          <w:p w14:paraId="2DC1421E" w14:textId="5FC5EC1D" w:rsidR="0094577F" w:rsidRPr="004A30F8" w:rsidRDefault="006E603E" w:rsidP="006E603E">
            <w:pPr>
              <w:spacing w:after="240"/>
              <w:rPr>
                <w:rFonts w:ascii="Calibri" w:hAnsi="Calibri" w:cs="Calibri"/>
                <w:bCs/>
                <w:color w:val="00759B" w:themeColor="accent1"/>
                <w:lang w:bidi="en-US"/>
              </w:rPr>
            </w:pPr>
            <w:r w:rsidRPr="006E603E">
              <w:rPr>
                <w:rFonts w:ascii="Calibri" w:hAnsi="Calibri" w:cs="Arial"/>
                <w:bCs/>
                <w:color w:val="00759B" w:themeColor="accent1"/>
                <w:lang w:bidi="en-US"/>
              </w:rPr>
              <w:t xml:space="preserve">The GPhC is committed to compliance with the General Data Protection Regulation (GDPR), details for our privacy policy can be found on our </w:t>
            </w:r>
            <w:hyperlink r:id="rId13" w:history="1">
              <w:r w:rsidRPr="006E603E">
                <w:rPr>
                  <w:rStyle w:val="Hyperlink"/>
                  <w:rFonts w:ascii="Calibri" w:hAnsi="Calibri" w:cs="Arial"/>
                  <w:bCs/>
                  <w:color w:val="00759B" w:themeColor="accent1"/>
                  <w:lang w:bidi="en-US"/>
                </w:rPr>
                <w:t>website</w:t>
              </w:r>
            </w:hyperlink>
            <w:r w:rsidRPr="006E603E">
              <w:rPr>
                <w:rFonts w:ascii="Calibri" w:hAnsi="Calibri" w:cs="Arial"/>
                <w:bCs/>
                <w:color w:val="00759B" w:themeColor="accent1"/>
                <w:lang w:bidi="en-US"/>
              </w:rPr>
              <w:t>.</w:t>
            </w:r>
          </w:p>
        </w:tc>
      </w:tr>
    </w:tbl>
    <w:p w14:paraId="6D5691D1" w14:textId="77777777" w:rsidR="009A561D" w:rsidRDefault="009A561D" w:rsidP="009A561D">
      <w:pPr>
        <w:pStyle w:val="NormalIndent"/>
        <w:ind w:left="0"/>
      </w:pPr>
    </w:p>
    <w:p w14:paraId="2D25031A" w14:textId="7C9A7236" w:rsidR="009A561D" w:rsidRDefault="004A30F8" w:rsidP="009A561D">
      <w:pPr>
        <w:pStyle w:val="NormalIndent"/>
        <w:ind w:left="0"/>
      </w:pPr>
      <w:r w:rsidRPr="001F08DB">
        <w:rPr>
          <w:b/>
          <w:bCs/>
          <w:sz w:val="36"/>
          <w:szCs w:val="36"/>
          <w:u w:val="single"/>
        </w:rPr>
        <w:t>Please delete this section/page before submitting to the GPhC.</w:t>
      </w:r>
    </w:p>
    <w:p w14:paraId="14E148C1" w14:textId="0F5D368A" w:rsidR="004A30F8" w:rsidRPr="00D16D89" w:rsidRDefault="004A30F8">
      <w:r>
        <w:rPr>
          <w:rFonts w:ascii="Calibri" w:eastAsia="Calibri" w:hAnsi="Calibri" w:cs="Arial"/>
          <w:b/>
          <w:color w:val="00759B"/>
          <w:sz w:val="44"/>
          <w:szCs w:val="44"/>
        </w:rPr>
        <w:br w:type="page"/>
      </w:r>
    </w:p>
    <w:p w14:paraId="4BEE5510" w14:textId="66A0AFED" w:rsidR="004006D7" w:rsidRPr="006732E3" w:rsidRDefault="004006D7" w:rsidP="006732E3">
      <w:pPr>
        <w:pStyle w:val="Heading1"/>
        <w:rPr>
          <w:sz w:val="48"/>
          <w:szCs w:val="28"/>
        </w:rPr>
      </w:pPr>
      <w:bookmarkStart w:id="4" w:name="_Toc80888279"/>
      <w:r w:rsidRPr="006732E3">
        <w:rPr>
          <w:sz w:val="48"/>
          <w:szCs w:val="28"/>
        </w:rPr>
        <w:lastRenderedPageBreak/>
        <w:t xml:space="preserve">Background </w:t>
      </w:r>
      <w:r w:rsidR="002B3488" w:rsidRPr="006732E3">
        <w:rPr>
          <w:sz w:val="48"/>
          <w:szCs w:val="28"/>
        </w:rPr>
        <w:t>programme</w:t>
      </w:r>
      <w:r w:rsidRPr="006732E3">
        <w:rPr>
          <w:sz w:val="48"/>
          <w:szCs w:val="28"/>
        </w:rPr>
        <w:t xml:space="preserve"> information:</w:t>
      </w:r>
      <w:bookmarkEnd w:id="4"/>
    </w:p>
    <w:p w14:paraId="3D8A0FA8" w14:textId="58F3B00C" w:rsidR="00D509AA" w:rsidRPr="00D509AA" w:rsidRDefault="00D509AA" w:rsidP="00D509AA">
      <w:r w:rsidRPr="00D509AA">
        <w:rPr>
          <w:rFonts w:ascii="Calibri" w:hAnsi="Calibri" w:cs="Arial"/>
          <w:bCs/>
          <w:color w:val="00759B" w:themeColor="accent1"/>
          <w:lang w:bidi="en-US"/>
        </w:rPr>
        <w:t>This template should be read in conjunction with</w:t>
      </w:r>
      <w:r w:rsidR="00DE324B">
        <w:rPr>
          <w:rFonts w:ascii="Calibri" w:hAnsi="Calibri" w:cs="Arial"/>
          <w:bCs/>
          <w:color w:val="00759B" w:themeColor="accent1"/>
          <w:lang w:bidi="en-US"/>
        </w:rPr>
        <w:t xml:space="preserve"> the</w:t>
      </w:r>
      <w:r w:rsidRPr="00D509AA">
        <w:rPr>
          <w:rFonts w:ascii="Calibri" w:hAnsi="Calibri" w:cs="Arial"/>
          <w:bCs/>
          <w:color w:val="00759B" w:themeColor="accent1"/>
          <w:lang w:bidi="en-US"/>
        </w:rPr>
        <w:t xml:space="preserve"> </w:t>
      </w:r>
      <w:hyperlink r:id="rId14" w:history="1">
        <w:r w:rsidR="00DE324B" w:rsidRPr="00DE324B">
          <w:rPr>
            <w:rStyle w:val="Hyperlink"/>
            <w:rFonts w:ascii="Calibri" w:hAnsi="Calibri" w:cs="Arial"/>
            <w:color w:val="00759B" w:themeColor="accent1"/>
          </w:rPr>
          <w:t>Requirements for the education and training of pharmacy support staff – October 2021</w:t>
        </w:r>
      </w:hyperlink>
      <w:r>
        <w:rPr>
          <w:rFonts w:ascii="Calibri" w:hAnsi="Calibri" w:cs="Arial"/>
          <w:b/>
          <w:color w:val="00759B" w:themeColor="accent1"/>
        </w:rPr>
        <w:t>.</w:t>
      </w:r>
    </w:p>
    <w:tbl>
      <w:tblPr>
        <w:tblStyle w:val="TableGrid20"/>
        <w:tblW w:w="10201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ook w:val="04A0" w:firstRow="1" w:lastRow="0" w:firstColumn="1" w:lastColumn="0" w:noHBand="0" w:noVBand="1"/>
      </w:tblPr>
      <w:tblGrid>
        <w:gridCol w:w="10201"/>
      </w:tblGrid>
      <w:tr w:rsidR="009A561D" w:rsidRPr="004006D7" w14:paraId="68CDDF68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7C8DD914" w14:textId="77777777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  <w:bCs/>
                <w:lang w:bidi="en-US"/>
              </w:rPr>
            </w:pPr>
            <w:r w:rsidRPr="004006D7">
              <w:rPr>
                <w:rFonts w:ascii="Calibri" w:eastAsia="Calibri" w:hAnsi="Calibri" w:cs="Arial"/>
                <w:b/>
                <w:bCs/>
                <w:lang w:bidi="en-US"/>
              </w:rPr>
              <w:t xml:space="preserve">Academic year:  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202</w:t>
            </w:r>
            <w:r>
              <w:rPr>
                <w:rFonts w:ascii="Calibri" w:eastAsia="Calibri" w:hAnsi="Calibri" w:cs="Arial"/>
                <w:bCs/>
                <w:lang w:bidi="en-US"/>
              </w:rPr>
              <w:t>1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-2</w:t>
            </w:r>
            <w:r>
              <w:rPr>
                <w:rFonts w:ascii="Calibri" w:eastAsia="Calibri" w:hAnsi="Calibri" w:cs="Arial"/>
                <w:bCs/>
                <w:lang w:bidi="en-US"/>
              </w:rPr>
              <w:t>2</w:t>
            </w:r>
          </w:p>
        </w:tc>
      </w:tr>
      <w:tr w:rsidR="009A561D" w:rsidRPr="004006D7" w14:paraId="57003B00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3D007E76" w14:textId="77777777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9A561D" w:rsidRPr="004006D7" w14:paraId="56E230BE" w14:textId="77777777" w:rsidTr="00DE324B">
        <w:trPr>
          <w:trHeight w:val="299"/>
        </w:trPr>
        <w:tc>
          <w:tcPr>
            <w:tcW w:w="10201" w:type="dxa"/>
            <w:shd w:val="clear" w:color="auto" w:fill="FFFFFF" w:themeFill="background1"/>
          </w:tcPr>
          <w:p w14:paraId="3EE44970" w14:textId="04178558" w:rsidR="009A561D" w:rsidRPr="004006D7" w:rsidRDefault="009A561D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</w:rPr>
            </w:pPr>
            <w:r w:rsidRPr="004006D7">
              <w:rPr>
                <w:rFonts w:ascii="Calibri" w:eastAsia="Calibri" w:hAnsi="Calibri" w:cs="Arial"/>
                <w:b/>
              </w:rPr>
              <w:t xml:space="preserve">Name of </w:t>
            </w:r>
            <w:r w:rsidR="00DE324B" w:rsidRPr="00DE324B">
              <w:rPr>
                <w:rFonts w:ascii="Calibri" w:eastAsia="Calibri" w:hAnsi="Calibri" w:cs="Arial"/>
                <w:b/>
              </w:rPr>
              <w:t>course provider/awarding organisation</w:t>
            </w:r>
            <w:r w:rsidRPr="004006D7">
              <w:rPr>
                <w:rFonts w:ascii="Calibri" w:eastAsia="Calibri" w:hAnsi="Calibri" w:cs="Arial"/>
                <w:b/>
              </w:rPr>
              <w:t>:</w:t>
            </w:r>
            <w:r w:rsidRPr="004006D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9A561D" w:rsidRPr="004006D7" w14:paraId="2122216C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3E74C7CF" w14:textId="77777777" w:rsidR="009A561D" w:rsidRPr="004006D7" w:rsidRDefault="009A561D" w:rsidP="00A8171F">
            <w:pPr>
              <w:keepNext/>
              <w:tabs>
                <w:tab w:val="left" w:pos="709"/>
              </w:tabs>
              <w:rPr>
                <w:rFonts w:ascii="Calibri" w:eastAsia="Calibri" w:hAnsi="Calibri" w:cs="Arial"/>
                <w:b/>
              </w:rPr>
            </w:pPr>
          </w:p>
        </w:tc>
      </w:tr>
      <w:tr w:rsidR="009A561D" w:rsidRPr="004006D7" w14:paraId="18855F4D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3569022E" w14:textId="043D06A8" w:rsidR="009A561D" w:rsidRPr="004006D7" w:rsidRDefault="00D16D89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  <w:iCs/>
              </w:rPr>
            </w:pPr>
            <w:r>
              <w:rPr>
                <w:rFonts w:ascii="Calibri" w:eastAsia="Calibri" w:hAnsi="Calibri" w:cs="Arial"/>
                <w:b/>
                <w:iCs/>
              </w:rPr>
              <w:t>Name of course:</w:t>
            </w:r>
            <w:r w:rsidR="009A561D" w:rsidRPr="004006D7">
              <w:rPr>
                <w:rFonts w:ascii="Calibri" w:eastAsia="Calibri" w:hAnsi="Calibri" w:cs="Arial"/>
                <w:iCs/>
              </w:rPr>
              <w:t xml:space="preserve"> </w:t>
            </w:r>
          </w:p>
        </w:tc>
      </w:tr>
      <w:tr w:rsidR="009A561D" w:rsidRPr="004006D7" w14:paraId="2821E76E" w14:textId="77777777" w:rsidTr="00DE324B">
        <w:trPr>
          <w:trHeight w:hRule="exact" w:val="113"/>
        </w:trPr>
        <w:tc>
          <w:tcPr>
            <w:tcW w:w="10201" w:type="dxa"/>
            <w:shd w:val="clear" w:color="auto" w:fill="FFFFFF" w:themeFill="background1"/>
          </w:tcPr>
          <w:p w14:paraId="4FA5D67A" w14:textId="77777777" w:rsidR="009A561D" w:rsidRPr="004006D7" w:rsidRDefault="009A561D" w:rsidP="00A8171F">
            <w:pPr>
              <w:keepNext/>
              <w:tabs>
                <w:tab w:val="left" w:pos="709"/>
              </w:tabs>
              <w:rPr>
                <w:rFonts w:ascii="Calibri" w:eastAsia="Calibri" w:hAnsi="Calibri" w:cs="Arial"/>
                <w:b/>
              </w:rPr>
            </w:pPr>
          </w:p>
        </w:tc>
      </w:tr>
    </w:tbl>
    <w:p w14:paraId="66A892D4" w14:textId="77777777" w:rsidR="004006D7" w:rsidRPr="004006D7" w:rsidRDefault="004006D7" w:rsidP="004006D7">
      <w:pPr>
        <w:tabs>
          <w:tab w:val="left" w:pos="1843"/>
        </w:tabs>
        <w:spacing w:after="0"/>
        <w:rPr>
          <w:rFonts w:ascii="Calibri" w:eastAsia="Calibri" w:hAnsi="Calibri" w:cs="Arial"/>
          <w:iCs/>
        </w:rPr>
      </w:pPr>
    </w:p>
    <w:p w14:paraId="5FFB0C16" w14:textId="51B7ECEA" w:rsidR="004006D7" w:rsidRDefault="004006D7">
      <w:r>
        <w:br w:type="page"/>
      </w:r>
    </w:p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D16D89" w:rsidRPr="00D16D89" w14:paraId="2938E0D0" w14:textId="77777777" w:rsidTr="00D16D89">
        <w:trPr>
          <w:trHeight w:val="227"/>
        </w:trPr>
        <w:tc>
          <w:tcPr>
            <w:tcW w:w="10206" w:type="dxa"/>
            <w:shd w:val="clear" w:color="auto" w:fill="563C75"/>
          </w:tcPr>
          <w:p w14:paraId="1057A283" w14:textId="77777777" w:rsidR="00D16D89" w:rsidRPr="00D16D89" w:rsidRDefault="00D16D89" w:rsidP="00D16D89">
            <w:pPr>
              <w:keepNext/>
              <w:keepLines/>
              <w:spacing w:after="240"/>
              <w:outlineLvl w:val="0"/>
              <w:rPr>
                <w:rFonts w:ascii="Calibri" w:eastAsia="Times New Roman" w:hAnsi="Calibri" w:cs="Times New Roman"/>
                <w:b/>
                <w:color w:val="563C75"/>
                <w:sz w:val="56"/>
                <w:szCs w:val="32"/>
                <w:lang w:bidi="en-US"/>
              </w:rPr>
            </w:pPr>
            <w:bookmarkStart w:id="5" w:name="_Toc80888280"/>
            <w:r w:rsidRPr="00D16D89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lastRenderedPageBreak/>
              <w:t>Part 3: Role-specific learning outcomes (National Occupational Standards)</w:t>
            </w:r>
            <w:bookmarkEnd w:id="5"/>
          </w:p>
        </w:tc>
      </w:tr>
      <w:tr w:rsidR="00D16D89" w:rsidRPr="00D16D89" w14:paraId="5894E455" w14:textId="77777777" w:rsidTr="00D16D8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7BF74812" w14:textId="074890A3" w:rsidR="00D16D89" w:rsidRPr="00D16D89" w:rsidRDefault="009B35C0" w:rsidP="00D16D89">
            <w:pPr>
              <w:pStyle w:val="Heading2"/>
              <w:rPr>
                <w:sz w:val="24"/>
                <w:szCs w:val="22"/>
              </w:rPr>
            </w:pPr>
            <w:hyperlink r:id="rId15" w:history="1">
              <w:bookmarkStart w:id="6" w:name="_Toc80888281"/>
              <w:r w:rsidR="00D16D89" w:rsidRPr="00EF0D2B">
                <w:rPr>
                  <w:sz w:val="24"/>
                  <w:szCs w:val="22"/>
                  <w:u w:val="single"/>
                </w:rPr>
                <w:t>PHARM01</w:t>
              </w:r>
            </w:hyperlink>
            <w:r w:rsidR="00EF0D2B">
              <w:rPr>
                <w:sz w:val="24"/>
                <w:szCs w:val="22"/>
              </w:rPr>
              <w:t xml:space="preserve"> - </w:t>
            </w:r>
            <w:r w:rsidR="00D16D89" w:rsidRPr="00D16D89">
              <w:rPr>
                <w:sz w:val="24"/>
                <w:szCs w:val="22"/>
              </w:rPr>
              <w:t>Assist with the provision of a pharmacy service</w:t>
            </w:r>
            <w:bookmarkEnd w:id="6"/>
          </w:p>
        </w:tc>
      </w:tr>
      <w:tr w:rsidR="00D16D89" w:rsidRPr="00D16D89" w14:paraId="552C63EE" w14:textId="77777777" w:rsidTr="00D16D89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C37" w14:textId="63F07D1D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D91F74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752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055554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4B44A4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3931B7B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99B161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8F6" w14:textId="49A92A90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2F234A3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AA0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DA6AC6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E31C25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5FA51D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23ABC96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7E35CB9" w14:textId="43CED43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68691440" w14:textId="2539D689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381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3728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30491400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2617818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5F46A204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1E528861" w14:textId="0D8906FB" w:rsidR="008C2DF3" w:rsidRPr="00D16D89" w:rsidRDefault="009B35C0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6" w:history="1">
              <w:bookmarkStart w:id="7" w:name="_Toc80888282"/>
              <w:r w:rsidR="008C2DF3" w:rsidRPr="00D16D89">
                <w:rPr>
                  <w:rFonts w:eastAsia="Calibri" w:cs="Calibri"/>
                  <w:sz w:val="24"/>
                  <w:szCs w:val="22"/>
                  <w:u w:val="single"/>
                </w:rPr>
                <w:t>PHARM02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D16D89">
              <w:rPr>
                <w:rFonts w:eastAsia="Calibri" w:cs="Calibri"/>
                <w:color w:val="00759B"/>
                <w:sz w:val="24"/>
                <w:szCs w:val="22"/>
              </w:rPr>
              <w:t>Provide an effective and responsive pharmacy service</w:t>
            </w:r>
            <w:bookmarkEnd w:id="7"/>
          </w:p>
        </w:tc>
      </w:tr>
      <w:tr w:rsidR="00D16D89" w:rsidRPr="00D16D89" w14:paraId="4189177E" w14:textId="77777777" w:rsidTr="00D16D89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56CF" w14:textId="47CCE1EC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13DBE3B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23E0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1081FD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FB96DC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7B5C88E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5D797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AEFA" w14:textId="24F0007E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962A6B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56E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5D1625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3CB7551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0481BE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98DFC48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8A26663" w14:textId="02CA19A3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393ECEBD" w14:textId="37E503E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3631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17101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7AD8AE7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71424E9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lastRenderedPageBreak/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9857424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2A2005A6" w14:textId="6A6B05EC" w:rsidR="008C2DF3" w:rsidRPr="00D16D89" w:rsidRDefault="009B35C0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7" w:history="1">
              <w:bookmarkStart w:id="8" w:name="_Toc80888283"/>
              <w:r w:rsidR="008C2DF3" w:rsidRPr="00D16D89">
                <w:rPr>
                  <w:rFonts w:eastAsia="Calibri" w:cs="Calibri"/>
                  <w:sz w:val="24"/>
                  <w:szCs w:val="22"/>
                  <w:u w:val="single"/>
                </w:rPr>
                <w:t>PHARM03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D16D89">
              <w:rPr>
                <w:rFonts w:eastAsia="Calibri" w:cs="Calibri"/>
                <w:color w:val="00759B"/>
                <w:sz w:val="24"/>
                <w:szCs w:val="22"/>
              </w:rPr>
              <w:t>Respond to pharmaceutical queries and requests for information</w:t>
            </w:r>
            <w:bookmarkEnd w:id="8"/>
          </w:p>
        </w:tc>
      </w:tr>
      <w:tr w:rsidR="00D16D89" w:rsidRPr="00D16D89" w14:paraId="5293217D" w14:textId="77777777" w:rsidTr="00D16D89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63D0" w14:textId="2520B932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D57259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AD3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D9A445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23D89E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DE09F96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552016B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110D" w14:textId="5B814BD8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5A7F69E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08AD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A9DB66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F6B7A4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93F3FC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9F16758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50F6364" w14:textId="478B30E4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1A64D94F" w14:textId="32A17DF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20538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7593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4F2A964A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D1664ED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64D69A77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0249D0A9" w14:textId="2406663B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18" w:history="1">
              <w:bookmarkStart w:id="9" w:name="_Toc80888284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PHARM04</w:t>
              </w:r>
            </w:hyperlink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Provide advice on non-prescribed medicines and products</w:t>
            </w:r>
            <w:bookmarkEnd w:id="9"/>
          </w:p>
        </w:tc>
      </w:tr>
      <w:tr w:rsidR="00D16D89" w:rsidRPr="00D16D89" w14:paraId="084896B9" w14:textId="77777777" w:rsidTr="00D16D89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B47B" w14:textId="4B6E408E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642EE72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E7F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A3291E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01141F3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BFE41CA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0591A0F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C9D0" w14:textId="752B872D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7ECD9C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A80F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5C135E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03D61F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DE511E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177D2F3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46C9C95" w14:textId="15C5FCF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35BFFDC9" w14:textId="2CADE85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1121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6611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351BFE5E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CE48055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7B3F9B4B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518BCCE0" w14:textId="0519019F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9" w:history="1">
              <w:bookmarkStart w:id="10" w:name="_Toc80888285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PHARM07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Receive prescriptions</w:t>
            </w:r>
            <w:bookmarkEnd w:id="10"/>
          </w:p>
        </w:tc>
      </w:tr>
      <w:tr w:rsidR="00D16D89" w:rsidRPr="00D16D89" w14:paraId="68492CE7" w14:textId="77777777" w:rsidTr="00D16D89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77FE" w14:textId="658CEC07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2095CB2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8DC1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5E71E4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E813241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D71C4C0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C426B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4825" w14:textId="37E1946C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B1DAD5B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EEA4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28BD4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1F2335F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3A9909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D8DF67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C903920" w14:textId="6AFDA672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3EC5BE4" w14:textId="583BB86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8173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9983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1336EBC8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A344B3C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DC5D0CE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45141065" w14:textId="6E3D4589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0" w:history="1">
              <w:bookmarkStart w:id="11" w:name="_Toc80888286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PHARM08</w:t>
              </w:r>
            </w:hyperlink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Confirm prescription validity</w:t>
            </w:r>
            <w:bookmarkEnd w:id="11"/>
          </w:p>
        </w:tc>
      </w:tr>
      <w:tr w:rsidR="00D16D89" w:rsidRPr="00D16D89" w14:paraId="1D481F6D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27B6" w14:textId="5BAB7E90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67C56D2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55D0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2EAF5C4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AE31494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4994A54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CEC7A2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506F" w14:textId="1930D0A4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08E8DC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17F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25C563F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B65578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9DA8E3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942A588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7E0DA4F" w14:textId="7062A040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0824078F" w14:textId="1B8D8D7C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96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5819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597F5983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CD52F2B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10B9686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7D7588BC" w14:textId="64CD8044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1" w:history="1">
              <w:bookmarkStart w:id="12" w:name="_Toc80888287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PHARM09</w:t>
              </w:r>
            </w:hyperlink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Assemble prescribed items</w:t>
            </w:r>
            <w:bookmarkEnd w:id="12"/>
          </w:p>
        </w:tc>
      </w:tr>
      <w:tr w:rsidR="00D16D89" w:rsidRPr="00D16D89" w14:paraId="4181902A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60D4" w14:textId="2B638488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4387992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6B5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4D176291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52D2CB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11952BC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B5A3F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BF50" w14:textId="0018707F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D6F73C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7BA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BBF18C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D2652F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24A0A0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1B34DC1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7B96CD7" w14:textId="4188F05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6F913BE2" w14:textId="32F08EF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2412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6995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048A3056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6BABA4F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1F2A3707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23A229CC" w14:textId="137384C7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2" w:history="1">
              <w:bookmarkStart w:id="13" w:name="_Toc80888288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PHARM10</w:t>
              </w:r>
            </w:hyperlink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Issue prescribed items</w:t>
            </w:r>
            <w:bookmarkEnd w:id="13"/>
          </w:p>
        </w:tc>
      </w:tr>
      <w:tr w:rsidR="00D16D89" w:rsidRPr="00D16D89" w14:paraId="24F36480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B8B2" w14:textId="663746F6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68B42DF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4231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2EF146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8EEEC5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0EDAA89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8EAA32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9792" w14:textId="58C0698B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FC908A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7384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D398E2F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410650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400DA7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51E1E770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E5EB6B3" w14:textId="0E8C178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1293F9C6" w14:textId="1FE7202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1463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2781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456A2AC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2788A9A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1F905B86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6ABE3F54" w14:textId="0B5E3E91" w:rsidR="008C2DF3" w:rsidRPr="00D16D89" w:rsidRDefault="009B35C0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3" w:history="1">
              <w:bookmarkStart w:id="14" w:name="_Toc80888289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PHARM11</w:t>
              </w:r>
            </w:hyperlink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Prepare extemporaneous medicines</w:t>
            </w:r>
            <w:bookmarkEnd w:id="14"/>
          </w:p>
        </w:tc>
      </w:tr>
      <w:tr w:rsidR="00D16D89" w:rsidRPr="00D16D89" w14:paraId="17904468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DA3" w14:textId="2784B260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29C01A7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1A7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A0DB9D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lastRenderedPageBreak/>
              <w:t>Please type your commentary here</w:t>
            </w:r>
          </w:p>
          <w:p w14:paraId="2BA0517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062CF86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3CE2D9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8925" w14:textId="0A4595F8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0C9798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5823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FBD1A9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4B217E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F4CCFB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15F9ACF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C48B013" w14:textId="1F1C6AD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B9795EE" w14:textId="4E82D42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5335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18790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7DE846C9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BC2DEBF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5497DC8E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6FA629A0" w14:textId="1FDECAAF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4" w:history="1">
              <w:bookmarkStart w:id="15" w:name="_Toc80888290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PHARM12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Order pharmaceutical stock</w:t>
            </w:r>
            <w:bookmarkEnd w:id="15"/>
          </w:p>
        </w:tc>
      </w:tr>
      <w:tr w:rsidR="00D16D89" w:rsidRPr="00D16D89" w14:paraId="34785B9D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101F" w14:textId="49D9DFCF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6335ED9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48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105EE0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B8968F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18CD78D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52FE527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FB52" w14:textId="7DF5F59B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490A28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FC6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1167681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5CD005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492F36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0DBCE2F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BB86617" w14:textId="3827A06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1C31782B" w14:textId="078381C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913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030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3654C993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B819C44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410061B5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5BB16F1C" w14:textId="1186F7FD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5" w:history="1">
              <w:bookmarkStart w:id="16" w:name="_Toc80888291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PHARM13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Receive pharmaceutical stock</w:t>
            </w:r>
            <w:bookmarkEnd w:id="16"/>
          </w:p>
        </w:tc>
      </w:tr>
      <w:tr w:rsidR="00D16D89" w:rsidRPr="00D16D89" w14:paraId="1968414C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431B" w14:textId="359D165B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703F6A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B5F5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05A5E6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5E5876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188C53F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lastRenderedPageBreak/>
              <w:t>(expand as necessary)</w:t>
            </w:r>
          </w:p>
        </w:tc>
      </w:tr>
      <w:tr w:rsidR="00D16D89" w:rsidRPr="00D16D89" w14:paraId="3798E2A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31D0" w14:textId="1B7FC965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497ECD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4F0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7B08D0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B1ECBC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77BD49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D084F25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365C63B" w14:textId="1196F13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72727BE7" w14:textId="7593840E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4209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9657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18DCE801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2D10C98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0CADBEB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10121561" w14:textId="0EA16C26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6" w:history="1">
              <w:bookmarkStart w:id="17" w:name="_Toc80888292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PHARM14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Maintain pharmaceutical stock</w:t>
            </w:r>
            <w:bookmarkEnd w:id="17"/>
          </w:p>
        </w:tc>
      </w:tr>
      <w:tr w:rsidR="00D16D89" w:rsidRPr="00D16D89" w14:paraId="02BBCF30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8A42" w14:textId="5B6936A4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04789CB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034E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073C14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3C96CA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15AD3B5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A3559E7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F9E" w14:textId="7F3189CF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47B8BC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D40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5C0D39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182AAA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CDA0EE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6C59FC5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2ADA6BC" w14:textId="71EC162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6AE24D8A" w14:textId="797D464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8720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0208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18F7662F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68F0D20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589850CF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3CE92E0C" w14:textId="7D2016FA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7" w:history="1">
              <w:bookmarkStart w:id="18" w:name="_Toc80888293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PHARM15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Supply pharmaceutical stock</w:t>
            </w:r>
            <w:bookmarkEnd w:id="18"/>
          </w:p>
        </w:tc>
      </w:tr>
      <w:tr w:rsidR="00D16D89" w:rsidRPr="00D16D89" w14:paraId="30C4B88A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F5DB" w14:textId="46BDE71B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614CE4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41C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A30393F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7110A7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3CA61C0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431395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573A" w14:textId="2BFB2B0F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0C8893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ABF9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082373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E8DF97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7A785E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0D0B7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844F9D2" w14:textId="71977A79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5930A3E9" w14:textId="7C2C589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3517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13989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4DCAA7F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17CDA2D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4B6D81DF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0F6FB488" w14:textId="45A41EEF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8" w:history="1">
              <w:bookmarkStart w:id="19" w:name="_Toc80888294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PHARM17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Manufacture and assemble medicinal products</w:t>
            </w:r>
            <w:bookmarkEnd w:id="19"/>
          </w:p>
        </w:tc>
      </w:tr>
      <w:tr w:rsidR="00D16D89" w:rsidRPr="00D16D89" w14:paraId="2CA6F333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3841" w14:textId="0A763BC6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2491E4B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C059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8FBE17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206330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2DF88DB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E966413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324D" w14:textId="35021150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F0EBBE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1E44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FB8102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350DF9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09E96DF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8A6370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34AA2E6" w14:textId="0787709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61580434" w14:textId="6965BA1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9178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9622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65969AD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B98F25C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57A80A9C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6B19CBB0" w14:textId="02EC9812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9" w:history="1">
              <w:bookmarkStart w:id="20" w:name="_Toc80888295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PHARM19</w:t>
              </w:r>
            </w:hyperlink>
            <w:r w:rsidR="008C2DF3" w:rsidRPr="008C2DF3">
              <w:rPr>
                <w:rFonts w:eastAsia="Calibri" w:cs="Calibri"/>
                <w:b w:val="0"/>
                <w:bCs/>
                <w:sz w:val="24"/>
                <w:szCs w:val="22"/>
              </w:rPr>
              <w:t xml:space="preserve"> </w:t>
            </w:r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Prepare aseptic products</w:t>
            </w:r>
            <w:bookmarkEnd w:id="20"/>
          </w:p>
        </w:tc>
      </w:tr>
      <w:tr w:rsidR="00D16D89" w:rsidRPr="00D16D89" w14:paraId="30541DF8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DD42" w14:textId="480CC851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66A4829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9A3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6C3043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284745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E6FEB59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5AF4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7262" w14:textId="7431889A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D5504E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C565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643A8FA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35A4E87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276A99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6793ECC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1AB210F" w14:textId="792034F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4D202D5E" w14:textId="7E07CCC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7195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8812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264C6364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46AF52B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FE0C7F4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66644610" w14:textId="17E25095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0" w:history="1">
              <w:bookmarkStart w:id="21" w:name="_Toc80888296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PHARM20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Prepare documentation and materials for the manufacture and assembly of medicinal products</w:t>
            </w:r>
            <w:bookmarkEnd w:id="21"/>
          </w:p>
        </w:tc>
      </w:tr>
      <w:tr w:rsidR="00D16D89" w:rsidRPr="00D16D89" w14:paraId="52955F9E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A3F2" w14:textId="6280F257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19F30D1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F0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3878F8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29B18C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31223C4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2BB81F6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F591" w14:textId="121361F0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26FF801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7C60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C31700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FA4995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89B405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DFA02CC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2E23804" w14:textId="2BF4CA2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B8BD1BD" w14:textId="71DC530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8865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4284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152EBD81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B4A1C5B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192333A3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616C7722" w14:textId="7ED25543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1" w:history="1">
              <w:bookmarkStart w:id="22" w:name="_Toc80888297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PHARM21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Prepare documentation and materials for the production of aseptic products</w:t>
            </w:r>
            <w:bookmarkEnd w:id="22"/>
          </w:p>
        </w:tc>
      </w:tr>
      <w:tr w:rsidR="00D16D89" w:rsidRPr="00D16D89" w14:paraId="4306C7F2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B759" w14:textId="63DD178C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0B6C3F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5711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DE6244E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10BAB5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7B9DF43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A289D6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9E2B" w14:textId="14B04D40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EC7463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7032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E1F25D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lastRenderedPageBreak/>
              <w:t>Please type your commentary here</w:t>
            </w:r>
          </w:p>
          <w:p w14:paraId="4BFAECA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455130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8D2EA7B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DDD63A7" w14:textId="7AD1198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lastRenderedPageBreak/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7144D601" w14:textId="359E252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4625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1941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4B187CE6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E7A7648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C1EAFCB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1198C087" w14:textId="3CDFB86E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2" w:history="1">
              <w:bookmarkStart w:id="23" w:name="_Toc80888298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PHARM23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Check documentation and materials prior to the preparation of aseptic products</w:t>
            </w:r>
            <w:bookmarkEnd w:id="23"/>
          </w:p>
        </w:tc>
      </w:tr>
      <w:tr w:rsidR="00D16D89" w:rsidRPr="00D16D89" w14:paraId="41ABCC71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D3CA" w14:textId="4CA5FC35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7BDCE4F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DFA4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966998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01DA38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C17E5EF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45AD1F1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4A64" w14:textId="1D96D052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4825A8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EECD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8BA300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9D13244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9823D9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5F156B8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7D779DB" w14:textId="68F689D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506AA2B8" w14:textId="7C2E9F23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2415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2017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17E1C3E1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36989D92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2D10D6FF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4D937589" w14:textId="1FA24C2D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3" w:history="1">
              <w:bookmarkStart w:id="24" w:name="_Toc80888299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PHARM24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Provide an effective pharmacy collection and delivery service</w:t>
            </w:r>
            <w:bookmarkEnd w:id="24"/>
          </w:p>
        </w:tc>
      </w:tr>
      <w:tr w:rsidR="00D16D89" w:rsidRPr="00D16D89" w14:paraId="0925884F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C063" w14:textId="486C1F5E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0394978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F95D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46D6D9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512A0D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56B1F1C3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4404C6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5FA" w14:textId="6C5BD3BE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507A84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23E5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32DFA9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35F3F42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AEA994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lastRenderedPageBreak/>
              <w:t>(expand as necessary)</w:t>
            </w:r>
          </w:p>
        </w:tc>
      </w:tr>
      <w:tr w:rsidR="00D16D89" w:rsidRPr="00D16D89" w14:paraId="63B2CDB0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1CF0042" w14:textId="6FCC31B2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lastRenderedPageBreak/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0D49CFBA" w14:textId="6667CD1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1513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1561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086B1926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D89BED7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7434C691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7E8CA221" w14:textId="41CFE3BB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4" w:history="1">
              <w:bookmarkStart w:id="25" w:name="_Toc80888300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PHARM25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Supply dressings and appliances</w:t>
            </w:r>
            <w:bookmarkEnd w:id="25"/>
          </w:p>
        </w:tc>
      </w:tr>
      <w:tr w:rsidR="00D16D89" w:rsidRPr="00D16D89" w14:paraId="0CF706A0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AF2D" w14:textId="4692CAAF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7DFEFD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E138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15E0AE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3FD5B0A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3E734C4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C960D70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AEA7" w14:textId="6AF999E4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628F3E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7A8C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C002640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CC8337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76B9B1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3CABECC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C20DF9F" w14:textId="6D96CCC2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742FAB47" w14:textId="0DD429A9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3148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8748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39DAA015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406899F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bookmarkStart w:id="26" w:name="_Hlk40962899"/>
      <w:tr w:rsidR="008C2DF3" w:rsidRPr="00D16D89" w14:paraId="7C66C777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04D50D2A" w14:textId="096DD381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8C2DF3">
              <w:rPr>
                <w:rFonts w:eastAsia="Calibri"/>
                <w:sz w:val="24"/>
                <w:szCs w:val="22"/>
              </w:rPr>
              <w:fldChar w:fldCharType="begin"/>
            </w:r>
            <w:r w:rsidRPr="008C2DF3">
              <w:rPr>
                <w:rFonts w:eastAsia="Calibri"/>
                <w:sz w:val="24"/>
                <w:szCs w:val="22"/>
              </w:rPr>
              <w:instrText xml:space="preserve"> HYPERLINK "https://tools.skillsforhealth.org.uk/competence/show/html/id/4216/" </w:instrText>
            </w:r>
            <w:r w:rsidRPr="008C2DF3">
              <w:rPr>
                <w:rFonts w:eastAsia="Calibri"/>
                <w:sz w:val="24"/>
                <w:szCs w:val="22"/>
              </w:rPr>
              <w:fldChar w:fldCharType="separate"/>
            </w:r>
            <w:bookmarkStart w:id="27" w:name="_Toc80888301"/>
            <w:r w:rsidRPr="008C2DF3">
              <w:rPr>
                <w:rFonts w:eastAsia="Calibri"/>
                <w:sz w:val="24"/>
                <w:szCs w:val="22"/>
                <w:u w:val="single"/>
              </w:rPr>
              <w:t>PHARM26</w:t>
            </w:r>
            <w:r w:rsidRPr="008C2DF3">
              <w:rPr>
                <w:rFonts w:eastAsia="Calibri"/>
                <w:sz w:val="24"/>
                <w:szCs w:val="22"/>
              </w:rPr>
              <w:fldChar w:fldCharType="end"/>
            </w:r>
            <w:r>
              <w:rPr>
                <w:rFonts w:eastAsia="Calibri"/>
                <w:sz w:val="24"/>
                <w:szCs w:val="22"/>
              </w:rPr>
              <w:t xml:space="preserve"> - </w:t>
            </w:r>
            <w:r w:rsidRPr="008C2DF3">
              <w:rPr>
                <w:rFonts w:eastAsia="Calibri"/>
                <w:sz w:val="24"/>
                <w:szCs w:val="22"/>
              </w:rPr>
              <w:t>Process pharmacy information for appropriate reimbursement and remuneration</w:t>
            </w:r>
            <w:bookmarkEnd w:id="27"/>
          </w:p>
        </w:tc>
      </w:tr>
      <w:tr w:rsidR="00D16D89" w:rsidRPr="00D16D89" w14:paraId="0F277887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1DD0" w14:textId="417DCC75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3C32879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7CDA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98D9EA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90D007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2D839EA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86055A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C368" w14:textId="62001896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9B6A26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D970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E7986BD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732CD7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530108A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D64C3C9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E80FCD2" w14:textId="155A046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lastRenderedPageBreak/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556FCEFE" w14:textId="349F89F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69650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16401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6DE21149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DB7C3DE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bookmarkStart w:id="28" w:name="_Hlk40962887"/>
      <w:bookmarkEnd w:id="26"/>
      <w:tr w:rsidR="008C2DF3" w:rsidRPr="00D16D89" w14:paraId="7D02CA23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57CA0A87" w14:textId="2A9AA982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8C2DF3">
              <w:rPr>
                <w:rFonts w:eastAsia="Calibri"/>
                <w:sz w:val="24"/>
                <w:szCs w:val="22"/>
              </w:rPr>
              <w:fldChar w:fldCharType="begin"/>
            </w:r>
            <w:r w:rsidRPr="008C2DF3">
              <w:rPr>
                <w:rFonts w:eastAsia="Calibri"/>
                <w:sz w:val="24"/>
                <w:szCs w:val="22"/>
              </w:rPr>
              <w:instrText xml:space="preserve"> HYPERLINK "https://tools.skillsforhealth.org.uk/competence/show/html/id/4217/" </w:instrText>
            </w:r>
            <w:r w:rsidRPr="008C2DF3">
              <w:rPr>
                <w:rFonts w:eastAsia="Calibri"/>
                <w:sz w:val="24"/>
                <w:szCs w:val="22"/>
              </w:rPr>
              <w:fldChar w:fldCharType="separate"/>
            </w:r>
            <w:bookmarkStart w:id="29" w:name="_Toc80888302"/>
            <w:r w:rsidRPr="008C2DF3">
              <w:rPr>
                <w:rFonts w:eastAsia="Calibri"/>
                <w:sz w:val="24"/>
                <w:szCs w:val="22"/>
                <w:u w:val="single"/>
              </w:rPr>
              <w:t>PHARM28</w:t>
            </w:r>
            <w:r w:rsidRPr="008C2DF3">
              <w:rPr>
                <w:rFonts w:eastAsia="Calibri"/>
                <w:sz w:val="24"/>
                <w:szCs w:val="22"/>
              </w:rPr>
              <w:fldChar w:fldCharType="end"/>
            </w:r>
            <w:r>
              <w:rPr>
                <w:rFonts w:eastAsia="Calibri"/>
                <w:sz w:val="24"/>
                <w:szCs w:val="22"/>
              </w:rPr>
              <w:t xml:space="preserve"> - </w:t>
            </w:r>
            <w:r w:rsidRPr="008C2DF3">
              <w:rPr>
                <w:rFonts w:eastAsia="Calibri"/>
                <w:sz w:val="24"/>
                <w:szCs w:val="22"/>
              </w:rPr>
              <w:t>Undertake the final accuracy check of dispensed medicines and products</w:t>
            </w:r>
            <w:bookmarkEnd w:id="29"/>
          </w:p>
        </w:tc>
      </w:tr>
      <w:tr w:rsidR="00D16D89" w:rsidRPr="00D16D89" w14:paraId="0F494C4C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8C89" w14:textId="78EDF22B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3E5C9F7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C213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A220AC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705214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ADA9395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20A844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2DAA" w14:textId="23A76E3B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1E3FD7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C0D6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4CF93E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A69EDA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CCF906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24FA8FE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27E7DBD" w14:textId="3576388E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29AAA383" w14:textId="537E7BBE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5670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644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0C8CBD05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512C7EE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bookmarkEnd w:id="28"/>
      <w:tr w:rsidR="008C2DF3" w:rsidRPr="00D16D89" w14:paraId="6A9BFEA0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35C53C03" w14:textId="636D67ED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8C2DF3">
              <w:rPr>
                <w:rFonts w:eastAsia="Calibri"/>
                <w:sz w:val="24"/>
                <w:szCs w:val="22"/>
              </w:rPr>
              <w:fldChar w:fldCharType="begin"/>
            </w:r>
            <w:r w:rsidRPr="008C2DF3">
              <w:rPr>
                <w:rFonts w:eastAsia="Calibri"/>
                <w:sz w:val="24"/>
                <w:szCs w:val="22"/>
              </w:rPr>
              <w:instrText xml:space="preserve"> HYPERLINK "https://tools.skillsforhealth.org.uk/competence/show/html/id/4218/" </w:instrText>
            </w:r>
            <w:r w:rsidRPr="008C2DF3">
              <w:rPr>
                <w:rFonts w:eastAsia="Calibri"/>
                <w:sz w:val="24"/>
                <w:szCs w:val="22"/>
              </w:rPr>
              <w:fldChar w:fldCharType="separate"/>
            </w:r>
            <w:bookmarkStart w:id="30" w:name="_Toc80888303"/>
            <w:r w:rsidRPr="008C2DF3">
              <w:rPr>
                <w:rFonts w:eastAsia="Calibri"/>
                <w:sz w:val="24"/>
                <w:szCs w:val="22"/>
                <w:u w:val="single"/>
              </w:rPr>
              <w:t>PHARM29</w:t>
            </w:r>
            <w:r w:rsidRPr="008C2DF3">
              <w:rPr>
                <w:rFonts w:eastAsia="Calibri"/>
                <w:sz w:val="24"/>
                <w:szCs w:val="22"/>
              </w:rPr>
              <w:fldChar w:fldCharType="end"/>
            </w:r>
            <w:r>
              <w:rPr>
                <w:rFonts w:eastAsia="Calibri"/>
                <w:sz w:val="24"/>
                <w:szCs w:val="22"/>
              </w:rPr>
              <w:t xml:space="preserve"> - </w:t>
            </w:r>
            <w:r w:rsidRPr="008C2DF3">
              <w:rPr>
                <w:rFonts w:eastAsia="Calibri"/>
                <w:sz w:val="24"/>
                <w:szCs w:val="22"/>
              </w:rPr>
              <w:t>Retrieve and reconcile information about an individual’s medicines</w:t>
            </w:r>
            <w:bookmarkEnd w:id="30"/>
          </w:p>
        </w:tc>
      </w:tr>
      <w:tr w:rsidR="00D16D89" w:rsidRPr="00D16D89" w14:paraId="55D2A61E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4186" w14:textId="0165750F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7C3341A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B13B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60AE03A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A48E8F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A1E01AE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9A9F67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B4E1" w14:textId="53D37DAA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A08C26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7EE4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F4D98EB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EF029A9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5E7B44BC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367ACAA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D15D428" w14:textId="21AA45C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49790954" w14:textId="1A7B886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lastRenderedPageBreak/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6815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3884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71232501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B57C4BB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lastRenderedPageBreak/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6C5AA6F0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41F84422" w14:textId="3573CF05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5" w:history="1">
              <w:bookmarkStart w:id="31" w:name="_Toc80888304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PHARM31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Confirm the suitability of an individual's medicines for use and ensure sufficient supply</w:t>
            </w:r>
            <w:bookmarkEnd w:id="31"/>
          </w:p>
        </w:tc>
      </w:tr>
      <w:tr w:rsidR="00D16D89" w:rsidRPr="00D16D89" w14:paraId="18025942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362D" w14:textId="702458D5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1D66870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E4A9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81EFD4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67E6D35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D45E4C8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C944F8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DE21" w14:textId="62C30834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5D6D925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1EEB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59E09F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AF043F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E6BECF1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6DB322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4F942E08" w14:textId="260E266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02B6D09C" w14:textId="5EDB3EDC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5829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6497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05774DD9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1D7DFD9E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35A547B9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04BBD9F5" w14:textId="6BB14685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6" w:history="1">
              <w:bookmarkStart w:id="32" w:name="_Toc80888305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PHARM32</w:t>
              </w:r>
            </w:hyperlink>
            <w:r w:rsidR="008C2DF3" w:rsidRPr="008C2DF3">
              <w:rPr>
                <w:rFonts w:eastAsia="Calibri" w:cs="Calibri"/>
                <w:b w:val="0"/>
                <w:bCs/>
                <w:sz w:val="24"/>
                <w:szCs w:val="22"/>
              </w:rPr>
              <w:t xml:space="preserve"> -</w:t>
            </w:r>
            <w:r w:rsidR="008C2DF3">
              <w:rPr>
                <w:rFonts w:eastAsia="Calibri" w:cs="Calibri"/>
                <w:b w:val="0"/>
                <w:bCs/>
                <w:sz w:val="24"/>
                <w:szCs w:val="22"/>
              </w:rPr>
              <w:t xml:space="preserve">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Assist in the issuing of prescribed items</w:t>
            </w:r>
            <w:bookmarkEnd w:id="32"/>
          </w:p>
        </w:tc>
      </w:tr>
      <w:tr w:rsidR="00D16D89" w:rsidRPr="00D16D89" w14:paraId="1A77B36C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5522" w14:textId="2C88E76B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5E9AEEC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074E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6C429B4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E80CDA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E5E9C32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9675F9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F0A2" w14:textId="0717396A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BDE382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6E62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056A4D6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6FE435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336A30C8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BC00A86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671C6DB4" w14:textId="561403C3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48A98E2C" w14:textId="5404D38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1075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-15192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6CB55C9A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16076AC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D16D89" w14:paraId="78683C0F" w14:textId="77777777" w:rsidTr="008C2DF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shd w:val="clear" w:color="auto" w:fill="D1F2FF"/>
          </w:tcPr>
          <w:p w14:paraId="35BEEBC9" w14:textId="3BCD04F8" w:rsidR="008C2DF3" w:rsidRPr="008C2DF3" w:rsidRDefault="009B35C0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7" w:history="1">
              <w:bookmarkStart w:id="33" w:name="_Toc80888306"/>
              <w:r w:rsidR="008C2DF3" w:rsidRPr="008C2DF3">
                <w:rPr>
                  <w:rFonts w:eastAsia="Calibri" w:cs="Calibri"/>
                  <w:sz w:val="24"/>
                  <w:szCs w:val="22"/>
                  <w:u w:val="single"/>
                </w:rPr>
                <w:t>PHARM33</w:t>
              </w:r>
            </w:hyperlink>
            <w:r w:rsidR="008C2DF3">
              <w:rPr>
                <w:rFonts w:eastAsia="Calibri" w:cs="Calibri"/>
                <w:color w:val="00759B"/>
                <w:sz w:val="24"/>
                <w:szCs w:val="22"/>
              </w:rPr>
              <w:t xml:space="preserve"> - </w:t>
            </w:r>
            <w:r w:rsidR="008C2DF3" w:rsidRPr="008C2DF3">
              <w:rPr>
                <w:rFonts w:eastAsia="Calibri" w:cs="Calibri"/>
                <w:color w:val="00759B"/>
                <w:sz w:val="24"/>
                <w:szCs w:val="22"/>
              </w:rPr>
              <w:t>Order medicines and products for individuals</w:t>
            </w:r>
            <w:bookmarkEnd w:id="33"/>
          </w:p>
        </w:tc>
      </w:tr>
      <w:tr w:rsidR="00D16D89" w:rsidRPr="00D16D89" w14:paraId="71B77F3F" w14:textId="77777777" w:rsidTr="00D16D89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F493" w14:textId="1C5DE8CA" w:rsidR="00D16D89" w:rsidRPr="00D16D89" w:rsidRDefault="008C2DF3" w:rsidP="00D16D89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D16D89" w:rsidRPr="00D16D89" w14:paraId="1EE38F4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778B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58BD973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121F55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ECD8E94" w14:textId="77777777" w:rsidR="00D16D89" w:rsidRPr="00D16D89" w:rsidRDefault="00D16D89" w:rsidP="00D16D89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902B974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0DAF" w14:textId="6DFE0E7F" w:rsidR="00D16D89" w:rsidRPr="00D16D89" w:rsidRDefault="008C2DF3" w:rsidP="00D16D89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19FA5E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90E5" w14:textId="77777777" w:rsidR="00D16D89" w:rsidRPr="00D16D89" w:rsidRDefault="00D16D89" w:rsidP="00D16D89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370A7D7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13E3A652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1F7048A5" w14:textId="77777777" w:rsidR="00D16D89" w:rsidRPr="00D16D89" w:rsidRDefault="00D16D89" w:rsidP="00D16D89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BCCAB4C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54AC5F17" w14:textId="3CF6980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GPhC use only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. </w:t>
            </w:r>
          </w:p>
          <w:p w14:paraId="73C8DCD4" w14:textId="761904D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13771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Pr="00D16D89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5681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D89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D16D89" w:rsidRPr="00D16D89" w14:paraId="716F5C8D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5D46D3B" w14:textId="77777777" w:rsidR="00D16D89" w:rsidRPr="00D16D89" w:rsidRDefault="00D16D89" w:rsidP="00D16D89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D16D89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D16D89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</w:tbl>
    <w:p w14:paraId="446FE9DF" w14:textId="465F32CD" w:rsidR="00A8171F" w:rsidRDefault="00A8171F"/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8C2DF3" w:rsidRPr="008C2DF3" w14:paraId="150DD7FC" w14:textId="77777777" w:rsidTr="005641BA">
        <w:tc>
          <w:tcPr>
            <w:tcW w:w="10206" w:type="dxa"/>
            <w:shd w:val="clear" w:color="auto" w:fill="00759B"/>
            <w:hideMark/>
          </w:tcPr>
          <w:p w14:paraId="6E217837" w14:textId="71F14322" w:rsidR="008C2DF3" w:rsidRPr="008C2DF3" w:rsidRDefault="008C2DF3" w:rsidP="008C2DF3">
            <w:pPr>
              <w:keepNext/>
              <w:keepLines/>
              <w:spacing w:before="40" w:after="0"/>
              <w:outlineLvl w:val="1"/>
              <w:rPr>
                <w:rFonts w:ascii="Calibri" w:eastAsia="Times New Roman" w:hAnsi="Calibri" w:cs="Times New Roman"/>
                <w:b/>
                <w:color w:val="00759B"/>
                <w:sz w:val="32"/>
                <w:szCs w:val="26"/>
              </w:rPr>
            </w:pPr>
            <w:bookmarkStart w:id="34" w:name="_Toc80888307"/>
            <w:r w:rsidRPr="005641BA">
              <w:rPr>
                <w:rStyle w:val="Heading1Char"/>
                <w:color w:val="FFFFFF" w:themeColor="background1"/>
                <w:sz w:val="32"/>
                <w:szCs w:val="18"/>
              </w:rPr>
              <w:t>Additional technical outcomes not covered by the pharmacy suite of NOS’s</w:t>
            </w:r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>(delete</w:t>
            </w:r>
            <w:r w:rsidR="005641BA">
              <w:rPr>
                <w:rFonts w:ascii="Calibri" w:eastAsia="Times New Roman" w:hAnsi="Calibri" w:cs="Calibri"/>
                <w:b/>
                <w:color w:val="FFFFFF"/>
              </w:rPr>
              <w:t xml:space="preserve"> section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 xml:space="preserve"> if not applicable)</w:t>
            </w:r>
            <w:bookmarkEnd w:id="34"/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</w:p>
        </w:tc>
      </w:tr>
      <w:tr w:rsidR="008C2DF3" w:rsidRPr="008C2DF3" w14:paraId="08F21147" w14:textId="77777777" w:rsidTr="005641BA">
        <w:trPr>
          <w:trHeight w:val="469"/>
        </w:trPr>
        <w:tc>
          <w:tcPr>
            <w:tcW w:w="10206" w:type="dxa"/>
            <w:shd w:val="clear" w:color="auto" w:fill="D1F2FF"/>
            <w:hideMark/>
          </w:tcPr>
          <w:p w14:paraId="23803806" w14:textId="2E468917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XXX</w:t>
            </w:r>
          </w:p>
        </w:tc>
      </w:tr>
      <w:tr w:rsidR="008C2DF3" w:rsidRPr="008C2DF3" w14:paraId="579EDFA4" w14:textId="77777777" w:rsidTr="005641BA"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9521" w14:textId="0F7FC85C" w:rsidR="008C2DF3" w:rsidRPr="008C2DF3" w:rsidRDefault="008C2DF3" w:rsidP="008C2DF3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8C2DF3" w:rsidRPr="008C2DF3" w14:paraId="3732E5BD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974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383691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1392580F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7048E2D5" w14:textId="77777777" w:rsidR="008C2DF3" w:rsidRPr="008C2DF3" w:rsidRDefault="008C2DF3" w:rsidP="008C2DF3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584DE412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4DEA" w14:textId="11D92E1A" w:rsidR="008C2DF3" w:rsidRPr="008C2DF3" w:rsidRDefault="008C2DF3" w:rsidP="008C2DF3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207C09C5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D1E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2EDE4ED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6B742772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621A27F7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7C6679B1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518F98A4" w14:textId="77777777" w:rsidR="008C2DF3" w:rsidRPr="008C2DF3" w:rsidRDefault="008C2DF3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8C2DF3">
              <w:rPr>
                <w:rFonts w:ascii="Calibri" w:eastAsia="Calibri" w:hAnsi="Calibri" w:cs="Calibri"/>
                <w:b/>
                <w:color w:val="00759B"/>
              </w:rPr>
              <w:t xml:space="preserve">Accreditation/recognition team’s commentary. </w:t>
            </w:r>
          </w:p>
          <w:p w14:paraId="0CDFAFC3" w14:textId="797FF109" w:rsidR="008C2DF3" w:rsidRPr="008C2DF3" w:rsidRDefault="005C5E4F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="008C2DF3" w:rsidRPr="008C2DF3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21355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8C2DF3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8C2DF3" w:rsidRPr="008C2DF3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2682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8C2DF3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8C2DF3" w:rsidRPr="008C2DF3" w14:paraId="721B4ABE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025781CD" w14:textId="77777777" w:rsidR="008C2DF3" w:rsidRPr="008C2DF3" w:rsidRDefault="008C2DF3" w:rsidP="008C2DF3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8C2DF3">
              <w:rPr>
                <w:rFonts w:ascii="Calibri" w:eastAsia="Calibri" w:hAnsi="Calibri" w:cs="Calibri"/>
                <w:color w:val="00759B"/>
              </w:rPr>
              <w:lastRenderedPageBreak/>
              <w:t xml:space="preserve">For accreditation/recognition use only </w:t>
            </w:r>
            <w:r w:rsidRPr="008C2DF3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  <w:tr w:rsidR="008C2DF3" w:rsidRPr="008C2DF3" w14:paraId="38995D62" w14:textId="77777777" w:rsidTr="005641BA">
        <w:trPr>
          <w:trHeight w:val="469"/>
        </w:trPr>
        <w:tc>
          <w:tcPr>
            <w:tcW w:w="10206" w:type="dxa"/>
            <w:shd w:val="clear" w:color="auto" w:fill="D1F2FF"/>
            <w:hideMark/>
          </w:tcPr>
          <w:p w14:paraId="15033F20" w14:textId="5716997E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8C2DF3">
              <w:rPr>
                <w:rFonts w:ascii="Calibri" w:eastAsia="Calibri" w:hAnsi="Calibri" w:cs="Calibri"/>
                <w:b/>
                <w:color w:val="00759B"/>
              </w:rPr>
              <w:t>XX</w:t>
            </w:r>
          </w:p>
        </w:tc>
      </w:tr>
      <w:tr w:rsidR="008C2DF3" w:rsidRPr="008C2DF3" w14:paraId="13C1B62E" w14:textId="77777777" w:rsidTr="005641BA">
        <w:trPr>
          <w:trHeight w:val="185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3943" w14:textId="062D1058" w:rsidR="008C2DF3" w:rsidRPr="008C2DF3" w:rsidRDefault="008C2DF3" w:rsidP="008C2DF3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support trainees to achieve this NOS outcome?</w:t>
            </w:r>
          </w:p>
        </w:tc>
      </w:tr>
      <w:tr w:rsidR="008C2DF3" w:rsidRPr="008C2DF3" w14:paraId="1F316020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B97D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AB69B6C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3A753BC0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3E821376" w14:textId="77777777" w:rsidR="008C2DF3" w:rsidRPr="008C2DF3" w:rsidRDefault="008C2DF3" w:rsidP="008C2DF3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1AF2D9BB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5F53" w14:textId="16CDFCB1" w:rsidR="008C2DF3" w:rsidRPr="008C2DF3" w:rsidRDefault="008C2DF3" w:rsidP="008C2DF3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i/>
                <w:iCs/>
              </w:rPr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73811C23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A7F5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21357B7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1B18EF1C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2699C0AB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3A18DCB4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3B215783" w14:textId="77777777" w:rsidR="008C2DF3" w:rsidRPr="008C2DF3" w:rsidRDefault="008C2DF3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8C2DF3">
              <w:rPr>
                <w:rFonts w:ascii="Calibri" w:eastAsia="Calibri" w:hAnsi="Calibri" w:cs="Calibri"/>
                <w:b/>
                <w:color w:val="00759B"/>
              </w:rPr>
              <w:t xml:space="preserve">Accreditation/recognition team’s commentary. </w:t>
            </w:r>
          </w:p>
          <w:p w14:paraId="09270C8B" w14:textId="1C86B724" w:rsidR="008C2DF3" w:rsidRPr="008C2DF3" w:rsidRDefault="005C5E4F" w:rsidP="008C2DF3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b/>
                <w:color w:val="00759B"/>
              </w:rPr>
              <w:t>NOS met/will be met?</w:t>
            </w:r>
            <w:r w:rsidRPr="00D16D89">
              <w:rPr>
                <w:rFonts w:ascii="Calibri" w:eastAsia="Calibri" w:hAnsi="Calibri" w:cs="Calibri"/>
                <w:b/>
                <w:color w:val="00759B"/>
              </w:rPr>
              <w:t xml:space="preserve"> </w:t>
            </w:r>
            <w:r w:rsidR="008C2DF3" w:rsidRPr="008C2DF3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009639"/>
                </w:rPr>
                <w:id w:val="-12794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8C2DF3">
                  <w:rPr>
                    <w:rFonts w:ascii="Segoe UI Symbol" w:eastAsia="Calibri" w:hAnsi="Segoe UI Symbol" w:cs="Segoe UI Symbol"/>
                    <w:b/>
                    <w:bCs/>
                    <w:color w:val="009639"/>
                  </w:rPr>
                  <w:t>☐</w:t>
                </w:r>
              </w:sdtContent>
            </w:sdt>
            <w:r w:rsidR="008C2DF3" w:rsidRPr="008C2DF3">
              <w:rPr>
                <w:rFonts w:ascii="Calibri" w:eastAsia="Calibri" w:hAnsi="Calibri" w:cs="Times New Roman"/>
                <w:b/>
                <w:bCs/>
                <w:color w:val="00759B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C8102E"/>
                </w:rPr>
                <w:id w:val="19320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F3" w:rsidRPr="008C2DF3">
                  <w:rPr>
                    <w:rFonts w:ascii="Segoe UI Symbol" w:eastAsia="Calibri" w:hAnsi="Segoe UI Symbol" w:cs="Segoe UI Symbol"/>
                    <w:b/>
                    <w:bCs/>
                    <w:color w:val="C8102E"/>
                  </w:rPr>
                  <w:t>☐</w:t>
                </w:r>
              </w:sdtContent>
            </w:sdt>
          </w:p>
        </w:tc>
      </w:tr>
      <w:tr w:rsidR="008C2DF3" w:rsidRPr="008C2DF3" w14:paraId="7EC740FB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66D7C5AC" w14:textId="77777777" w:rsidR="008C2DF3" w:rsidRPr="008C2DF3" w:rsidRDefault="008C2DF3" w:rsidP="008C2DF3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 w:rsidRPr="008C2DF3">
              <w:rPr>
                <w:rFonts w:ascii="Calibri" w:eastAsia="Calibri" w:hAnsi="Calibri" w:cs="Calibri"/>
                <w:color w:val="00759B"/>
              </w:rPr>
              <w:t xml:space="preserve">For accreditation/recognition use only </w:t>
            </w:r>
            <w:r w:rsidRPr="008C2DF3">
              <w:rPr>
                <w:rFonts w:ascii="Calibri" w:eastAsia="Calibri" w:hAnsi="Calibri" w:cs="Times New Roman"/>
                <w:color w:val="00759B"/>
              </w:rPr>
              <w:t>(to delete once commentary is added)</w:t>
            </w:r>
          </w:p>
        </w:tc>
      </w:tr>
    </w:tbl>
    <w:p w14:paraId="73A1CEE5" w14:textId="33A90196" w:rsidR="005351AB" w:rsidRDefault="00317480">
      <w:r>
        <w:br w:type="page"/>
      </w:r>
    </w:p>
    <w:tbl>
      <w:tblPr>
        <w:tblW w:w="10191" w:type="dxa"/>
        <w:tblBorders>
          <w:top w:val="single" w:sz="12" w:space="0" w:color="00759B"/>
          <w:left w:val="single" w:sz="12" w:space="0" w:color="00759B"/>
          <w:bottom w:val="single" w:sz="12" w:space="0" w:color="00759B"/>
          <w:right w:val="single" w:sz="12" w:space="0" w:color="00759B"/>
          <w:insideH w:val="single" w:sz="12" w:space="0" w:color="00759B"/>
          <w:insideV w:val="single" w:sz="12" w:space="0" w:color="00759B"/>
        </w:tblBorders>
        <w:tblLook w:val="04A0" w:firstRow="1" w:lastRow="0" w:firstColumn="1" w:lastColumn="0" w:noHBand="0" w:noVBand="1"/>
      </w:tblPr>
      <w:tblGrid>
        <w:gridCol w:w="10191"/>
      </w:tblGrid>
      <w:tr w:rsidR="00317480" w:rsidRPr="008F036B" w14:paraId="3DE0775F" w14:textId="77777777" w:rsidTr="00EE3973">
        <w:trPr>
          <w:trHeight w:val="4648"/>
        </w:trPr>
        <w:tc>
          <w:tcPr>
            <w:tcW w:w="10191" w:type="dxa"/>
            <w:shd w:val="clear" w:color="auto" w:fill="D1F2FF"/>
          </w:tcPr>
          <w:p w14:paraId="67EAE9E4" w14:textId="77777777" w:rsidR="00317480" w:rsidRPr="008F036B" w:rsidRDefault="00317480" w:rsidP="009347CB">
            <w:pPr>
              <w:spacing w:after="0"/>
              <w:rPr>
                <w:rFonts w:ascii="Calibri" w:eastAsia="Times New Roman" w:hAnsi="Calibri" w:cs="Arial"/>
                <w:b/>
                <w:bCs/>
                <w:color w:val="007DB1"/>
                <w:sz w:val="16"/>
                <w:szCs w:val="16"/>
                <w:lang w:bidi="en-US"/>
              </w:rPr>
            </w:pPr>
            <w:bookmarkStart w:id="35" w:name="_Hlk43305394"/>
          </w:p>
          <w:p w14:paraId="3A1BC278" w14:textId="77777777" w:rsidR="00317480" w:rsidRPr="00937043" w:rsidRDefault="00317480" w:rsidP="00937043">
            <w:pPr>
              <w:pStyle w:val="Heading2"/>
              <w:ind w:left="284"/>
              <w:rPr>
                <w:rFonts w:eastAsia="Times New Roman"/>
                <w:lang w:bidi="en-US"/>
              </w:rPr>
            </w:pPr>
            <w:bookmarkStart w:id="36" w:name="_Toc80888308"/>
            <w:r w:rsidRPr="00937043">
              <w:rPr>
                <w:rFonts w:eastAsia="Times New Roman"/>
                <w:lang w:bidi="en-US"/>
              </w:rPr>
              <w:t>Submitting your documentation to the GPhC</w:t>
            </w:r>
            <w:bookmarkEnd w:id="36"/>
          </w:p>
          <w:p w14:paraId="56004BFC" w14:textId="77777777" w:rsidR="00317480" w:rsidRPr="008F036B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/>
                <w:bCs/>
                <w:color w:val="007DB1"/>
                <w:sz w:val="22"/>
                <w:szCs w:val="22"/>
                <w:lang w:bidi="en-US"/>
              </w:rPr>
            </w:pPr>
          </w:p>
          <w:p w14:paraId="646FECF1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/>
                <w:bCs/>
                <w:color w:val="007DB1"/>
                <w:lang w:bidi="en-US"/>
              </w:rPr>
            </w:pP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You must send the following </w:t>
            </w:r>
            <w:r>
              <w:rPr>
                <w:rFonts w:ascii="Calibri" w:hAnsi="Calibri" w:cs="Arial"/>
                <w:b/>
                <w:bCs/>
                <w:color w:val="00759B"/>
                <w:lang w:bidi="en-US"/>
              </w:rPr>
              <w:t>electronically via email or a secure link</w:t>
            </w: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>:</w:t>
            </w:r>
          </w:p>
          <w:p w14:paraId="34E1D70F" w14:textId="77777777" w:rsidR="00317480" w:rsidRPr="00401E9C" w:rsidRDefault="00317480" w:rsidP="009347CB">
            <w:pPr>
              <w:rPr>
                <w:rFonts w:ascii="Calibri" w:hAnsi="Calibri" w:cs="Arial"/>
                <w:bCs/>
                <w:color w:val="000000"/>
                <w:lang w:bidi="en-US"/>
              </w:rPr>
            </w:pPr>
          </w:p>
          <w:p w14:paraId="57041771" w14:textId="77777777" w:rsidR="00317480" w:rsidRPr="00401E9C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Cs/>
                <w:color w:val="000000"/>
                <w:lang w:bidi="en-US"/>
              </w:rPr>
            </w:pPr>
            <w:r w:rsidRPr="00786FC1">
              <w:rPr>
                <w:color w:val="000000"/>
                <w:lang w:bidi="en-US"/>
              </w:rPr>
              <w:t xml:space="preserve">A </w:t>
            </w:r>
            <w:r w:rsidRPr="00C176FB">
              <w:rPr>
                <w:b/>
                <w:color w:val="00759B"/>
                <w:lang w:bidi="en-US"/>
              </w:rPr>
              <w:t>Word</w:t>
            </w:r>
            <w:r w:rsidRPr="00786FC1">
              <w:rPr>
                <w:color w:val="000000"/>
                <w:lang w:bidi="en-US"/>
              </w:rPr>
              <w:t xml:space="preserve"> </w:t>
            </w:r>
            <w:r w:rsidRPr="00786FC1">
              <w:rPr>
                <w:color w:val="000000"/>
                <w:u w:val="single"/>
                <w:lang w:bidi="en-US"/>
              </w:rPr>
              <w:t>and</w:t>
            </w:r>
            <w:r w:rsidRPr="00786FC1">
              <w:rPr>
                <w:color w:val="000000"/>
                <w:lang w:bidi="en-US"/>
              </w:rPr>
              <w:t xml:space="preserve"> a </w:t>
            </w:r>
            <w:r w:rsidRPr="00C176FB">
              <w:rPr>
                <w:b/>
                <w:color w:val="00759B"/>
                <w:lang w:bidi="en-US"/>
              </w:rPr>
              <w:t>PDF</w:t>
            </w:r>
            <w:r w:rsidRPr="00C176FB">
              <w:rPr>
                <w:color w:val="00759B"/>
                <w:lang w:bidi="en-US"/>
              </w:rPr>
              <w:t xml:space="preserve"> </w:t>
            </w:r>
            <w:r w:rsidRPr="00786FC1">
              <w:rPr>
                <w:color w:val="000000"/>
                <w:lang w:bidi="en-US"/>
              </w:rPr>
              <w:t>version of your submission document</w:t>
            </w:r>
            <w:r>
              <w:rPr>
                <w:color w:val="000000"/>
                <w:lang w:bidi="en-US"/>
              </w:rPr>
              <w:t xml:space="preserve"> </w:t>
            </w:r>
          </w:p>
          <w:p w14:paraId="53041E58" w14:textId="77777777" w:rsidR="00317480" w:rsidRPr="00510C07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A </w:t>
            </w:r>
            <w:r w:rsidRPr="00401E9C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PDF 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version of </w:t>
            </w:r>
            <w:r w:rsidRPr="00401E9C">
              <w:rPr>
                <w:rFonts w:ascii="Calibri" w:hAnsi="Calibri" w:cs="Arial"/>
                <w:bCs/>
                <w:color w:val="000000"/>
                <w:u w:val="single"/>
                <w:lang w:bidi="en-US"/>
              </w:rPr>
              <w:t>each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 item of documentary evidence</w:t>
            </w:r>
          </w:p>
          <w:p w14:paraId="600CFD12" w14:textId="77777777" w:rsidR="00317480" w:rsidRPr="00B8432C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sz w:val="22"/>
                <w:szCs w:val="22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05ED6" wp14:editId="11532417">
                      <wp:simplePos x="0" y="0"/>
                      <wp:positionH relativeFrom="column">
                        <wp:posOffset>593302</wp:posOffset>
                      </wp:positionH>
                      <wp:positionV relativeFrom="paragraph">
                        <wp:posOffset>55033</wp:posOffset>
                      </wp:positionV>
                      <wp:extent cx="361950" cy="3879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68D35" w14:textId="77777777" w:rsidR="008C2DF3" w:rsidRPr="00F37240" w:rsidRDefault="008C2DF3" w:rsidP="00317480">
                                  <w:pPr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F37240"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05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7pt;margin-top:4.35pt;width:28.5pt;height:3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z5CwIAAPMDAAAOAAAAZHJzL2Uyb0RvYy54bWysU9tuGyEQfa/Uf0C81+vd2LG9Mo7SpKkq&#10;pRcp6QdglvWiAkMBe9f9+g6s41jtW1UeEDAzZ+acGdY3g9HkIH1QYBktJ1NKpBXQKLtj9Pvzw7sl&#10;JSFy23ANVjJ6lIHebN6+WfeulhV0oBvpCYLYUPeO0S5GVxdFEJ00PEzASYvGFrzhEa9+VzSe94hu&#10;dFFNp9dFD75xHoQMAV/vRyPdZPy2lSJ+bdsgI9GMYm0x7z7v27QXmzWvd567TolTGfwfqjBcWUx6&#10;hrrnkZO9V39BGSU8BGjjRIApoG2VkJkDsimnf7B56riTmQuKE9xZpvD/YMWXwzdPVMNoVS4osdxg&#10;k57lEMl7GEiV9OldqNHtyaFjHPAZ+5y5BvcI4kcgFu46bnfy1nvoO8kbrK9MkcVF6IgTEsi2/wwN&#10;puH7CBloaL1J4qEcBNGxT8dzb1IpAh+vrsvVHC0CTVfLxWo5zxl4/RLsfIgfJRiSDox6bH0G54fH&#10;EFMxvH5xSbksPCitc/u1JT2jq3k1zwEXFqMiTqdWhtHlNK1xXhLHD7bJwZErPZ4xgbYn0onnyDgO&#10;2wEdkxJbaI5I38M4hfhr8NCB/0VJjxPIaPi5515Soj9ZlHBVzmZpZPNlNl9UePGXlu2lhVuBUIxG&#10;SsbjXcxjPnK9RalblWV4reRUK05WVuf0C9LoXt6z1+tf3fwGAAD//wMAUEsDBBQABgAIAAAAIQDg&#10;12+C2wAAAAcBAAAPAAAAZHJzL2Rvd25yZXYueG1sTI7BTsMwEETvSP0Haytxo3ahLUnIpkIgrqAW&#10;WombG2+TqPE6it0m/D3uCY6jGb15+Xq0rbhQ7xvHCPOZAkFcOtNwhfD1+XaXgPBBs9GtY0L4IQ/r&#10;YnKT68y4gTd02YZKRAj7TCPUIXSZlL6syWo/cx1x7I6utzrE2FfS9HqIcNvKe6VW0uqG40OtO3qp&#10;qTxtzxZh93783i/UR/Vql93gRiXZphLxdjo+P4EINIa/MVz1ozoU0engzmy8aBHSh0VcIiSPIK71&#10;UsV8QFilCcgil//9i18AAAD//wMAUEsBAi0AFAAGAAgAAAAhALaDOJL+AAAA4QEAABMAAAAAAAAA&#10;AAAAAAAAAAAAAFtDb250ZW50X1R5cGVzXS54bWxQSwECLQAUAAYACAAAACEAOP0h/9YAAACUAQAA&#10;CwAAAAAAAAAAAAAAAAAvAQAAX3JlbHMvLnJlbHNQSwECLQAUAAYACAAAACEAPvT8+QsCAADzAwAA&#10;DgAAAAAAAAAAAAAAAAAuAgAAZHJzL2Uyb0RvYy54bWxQSwECLQAUAAYACAAAACEA4NdvgtsAAAAH&#10;AQAADwAAAAAAAAAAAAAAAABlBAAAZHJzL2Rvd25yZXYueG1sUEsFBgAAAAAEAAQA8wAAAG0FAAAA&#10;AA==&#10;" filled="f" stroked="f">
                      <v:textbox>
                        <w:txbxContent>
                          <w:p w14:paraId="10868D35" w14:textId="77777777" w:rsidR="008C2DF3" w:rsidRPr="00F37240" w:rsidRDefault="008C2DF3" w:rsidP="00317480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37240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@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/>
                <w:bCs/>
                <w:noProof/>
                <w:color w:val="007DB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9C52DC" wp14:editId="312386DB">
                      <wp:simplePos x="0" y="0"/>
                      <wp:positionH relativeFrom="column">
                        <wp:posOffset>456354</wp:posOffset>
                      </wp:positionH>
                      <wp:positionV relativeFrom="paragraph">
                        <wp:posOffset>50588</wp:posOffset>
                      </wp:positionV>
                      <wp:extent cx="742950" cy="482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F2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E440" w14:textId="77777777" w:rsidR="008C2DF3" w:rsidRDefault="008C2DF3" w:rsidP="00317480">
                                  <w:pPr>
                                    <w:shd w:val="clear" w:color="auto" w:fill="D1F2FF"/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B8355C" wp14:editId="06E3B031">
                                        <wp:extent cx="490186" cy="341644"/>
                                        <wp:effectExtent l="0" t="0" r="5715" b="1270"/>
                                        <wp:docPr id="7" name="Picture 7" descr="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envelo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633" cy="344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52DC" id="_x0000_s1027" type="#_x0000_t202" style="position:absolute;left:0;text-align:left;margin-left:35.95pt;margin-top:4pt;width:58.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63KQIAAC0EAAAOAAAAZHJzL2Uyb0RvYy54bWysU8GO2yAQvVfqPyDujR0r2U2sOKtt0lSV&#10;tttKu/0AjHGMCgwFEjv9+g44m422t6o+WAwzPN68N6zuBq3IUTgvwVR0OskpEYZDI82+oj+edx8W&#10;lPjATMMUGFHRk/D0bv3+3aq3pSigA9UIRxDE+LK3Fe1CsGWWed4JzfwErDCYbMFpFjB0+6xxrEd0&#10;rbIiz2+yHlxjHXDhPe5uxyRdJ/y2FTx8a1svAlEVRW4h/V361/GfrVes3DtmO8nPNNg/sNBMGrz0&#10;ArVlgZGDk39BackdeGjDhIPOoG0lF6kH7Gaav+nmqWNWpF5QHG8vMvn/B8sfj98dkU1FC0oM02jR&#10;sxgC+QgDKaI6vfUlFj1ZLAsDbqPLqVNvH4D/9MTApmNmL+6dg74TrEF203gyuzo64vgIUvdfocFr&#10;2CFAAhpap6N0KAZBdHTpdHEmUuG4eTsrlnPMcEzNFsVNnpzLWPly2DofPgvQJC4q6tD4BM6ODz5E&#10;Mqx8KYl3eVCy2UmlUuD29UY5cmQ4JNvprtjtEv83ZcqQvqLLeTFPyAbi+TQ/WgYcYiV1RRd5/Max&#10;imJ8Mk0qCUyqcY1MlDmrEwUZpQlDPSQbknRRuRqaE8rlYJxZfGO46MD9pqTHea2o/3VgTlCivhiU&#10;fDmdzeKAp2A2vy0wcNeZ+jrDDEeoigZKxuUmjI/iYJ3cd3jTaLKBe7SplUnCV1Zn+jiTSdnz+4lD&#10;fx2nqtdXvv4DAAD//wMAUEsDBBQABgAIAAAAIQCewYcq2wAAAAcBAAAPAAAAZHJzL2Rvd25yZXYu&#10;eG1sTI9NT4NAEIbvJv6HzZh4Ie1S4wciS2M0evJQK4ceBxiBys4iuy34752e9PjkffPOM9l6tr06&#10;0ug7xwZWyxgUceXqjhsDxcfLIgHlA3KNvWMy8EMe1vn5WYZp7SZ+p+M2NEpG2KdooA1hSLX2VUsW&#10;/dINxJJ9utFiEBwbXY84ybjt9VUc32qLHcuFFgd6aqn62h6sgXJXvD7Txk7F3k3f0c0+Cm8YGXN5&#10;MT8+gAo0h78ynPRFHXJxKt2Ba696A3ere2kaSOSjU5wkwqXwdQw6z/R///wXAAD//wMAUEsBAi0A&#10;FAAGAAgAAAAhALaDOJL+AAAA4QEAABMAAAAAAAAAAAAAAAAAAAAAAFtDb250ZW50X1R5cGVzXS54&#10;bWxQSwECLQAUAAYACAAAACEAOP0h/9YAAACUAQAACwAAAAAAAAAAAAAAAAAvAQAAX3JlbHMvLnJl&#10;bHNQSwECLQAUAAYACAAAACEA3p7etykCAAAtBAAADgAAAAAAAAAAAAAAAAAuAgAAZHJzL2Uyb0Rv&#10;Yy54bWxQSwECLQAUAAYACAAAACEAnsGHKtsAAAAHAQAADwAAAAAAAAAAAAAAAACDBAAAZHJzL2Rv&#10;d25yZXYueG1sUEsFBgAAAAAEAAQA8wAAAIsFAAAAAA==&#10;" fillcolor="#d1f2ff" stroked="f">
                      <v:textbox>
                        <w:txbxContent>
                          <w:p w14:paraId="14E3E440" w14:textId="77777777" w:rsidR="008C2DF3" w:rsidRDefault="008C2DF3" w:rsidP="00317480">
                            <w:pPr>
                              <w:shd w:val="clear" w:color="auto" w:fill="D1F2FF"/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8355C" wp14:editId="06E3B031">
                                  <wp:extent cx="490186" cy="341644"/>
                                  <wp:effectExtent l="0" t="0" r="5715" b="1270"/>
                                  <wp:docPr id="7" name="Picture 7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nvel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33" cy="34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Cs/>
                <w:sz w:val="22"/>
                <w:szCs w:val="22"/>
                <w:lang w:bidi="en-US"/>
              </w:rPr>
              <w:t xml:space="preserve">                                             </w:t>
            </w:r>
          </w:p>
          <w:p w14:paraId="6D5572FA" w14:textId="77777777" w:rsidR="00317480" w:rsidRPr="00EE3973" w:rsidRDefault="00317480" w:rsidP="009347CB">
            <w:pPr>
              <w:spacing w:after="0"/>
              <w:ind w:left="284" w:firstLine="447"/>
              <w:rPr>
                <w:rFonts w:ascii="Calibri" w:hAnsi="Calibri" w:cs="Arial"/>
                <w:b/>
                <w:bCs/>
                <w:lang w:bidi="en-US"/>
              </w:rPr>
            </w:pPr>
            <w:r w:rsidRPr="00EE3973">
              <w:rPr>
                <w:rFonts w:ascii="Calibri" w:hAnsi="Calibri" w:cs="Arial"/>
                <w:b/>
                <w:bCs/>
                <w:color w:val="000000"/>
                <w:lang w:bidi="en-US"/>
              </w:rPr>
              <w:t>education@pharmacyregulation.org</w:t>
            </w:r>
          </w:p>
          <w:p w14:paraId="0228E00D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752816AE" w14:textId="77777777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1DFB07C1" w14:textId="4B7FF92E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/>
                <w:bCs/>
                <w:lang w:bidi="en-US"/>
              </w:rPr>
            </w:pPr>
            <w:r w:rsidRPr="002F6569">
              <w:rPr>
                <w:rFonts w:ascii="Calibri" w:hAnsi="Calibri" w:cs="Arial"/>
                <w:bCs/>
                <w:lang w:bidi="en-US"/>
              </w:rPr>
              <w:t xml:space="preserve">Please ensure that the </w:t>
            </w:r>
            <w:r>
              <w:rPr>
                <w:rFonts w:ascii="Calibri" w:hAnsi="Calibri" w:cs="Arial"/>
                <w:bCs/>
                <w:lang w:bidi="en-US"/>
              </w:rPr>
              <w:t>documentation arrives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 with the GPhC’s </w:t>
            </w:r>
            <w:r>
              <w:rPr>
                <w:rFonts w:ascii="Calibri" w:hAnsi="Calibri" w:cs="Arial"/>
                <w:bCs/>
                <w:lang w:bidi="en-US"/>
              </w:rPr>
              <w:t>Education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lang w:bidi="en-US"/>
              </w:rPr>
              <w:t>t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eam on, or before, the submission deadline. 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The deadline for submission of documentation is normally </w:t>
            </w:r>
            <w:r>
              <w:rPr>
                <w:rFonts w:ascii="Calibri" w:hAnsi="Calibri" w:cs="Arial"/>
                <w:b/>
                <w:bCs/>
                <w:lang w:bidi="en-US"/>
              </w:rPr>
              <w:t>six or seven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 weeks in advance of the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; however, you will be notified of your exact deadline date when we confirm the date of your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event.</w:t>
            </w:r>
          </w:p>
          <w:p w14:paraId="426528F1" w14:textId="77777777" w:rsidR="00317480" w:rsidRPr="00792A7D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Cs/>
                <w:sz w:val="22"/>
                <w:szCs w:val="22"/>
                <w:lang w:bidi="en-US"/>
              </w:rPr>
            </w:pPr>
          </w:p>
        </w:tc>
      </w:tr>
      <w:bookmarkEnd w:id="35"/>
    </w:tbl>
    <w:p w14:paraId="659F11D1" w14:textId="77777777" w:rsidR="005F760B" w:rsidRDefault="005F760B" w:rsidP="005F760B">
      <w:pPr>
        <w:pStyle w:val="NormalIndent"/>
        <w:ind w:left="0"/>
        <w:rPr>
          <w:b/>
          <w:bCs/>
          <w:sz w:val="36"/>
          <w:szCs w:val="36"/>
          <w:u w:val="single"/>
        </w:rPr>
      </w:pPr>
    </w:p>
    <w:p w14:paraId="2EA35B6D" w14:textId="7E4D8ACF" w:rsidR="005F760B" w:rsidRDefault="005F760B" w:rsidP="005F760B">
      <w:pPr>
        <w:pStyle w:val="NormalIndent"/>
        <w:ind w:left="0"/>
      </w:pPr>
      <w:r w:rsidRPr="001F08DB">
        <w:rPr>
          <w:b/>
          <w:bCs/>
          <w:sz w:val="36"/>
          <w:szCs w:val="36"/>
          <w:u w:val="single"/>
        </w:rPr>
        <w:t>Please delete this section/page before submitting to the GPhC.</w:t>
      </w:r>
      <w:r w:rsidR="00F17437">
        <w:rPr>
          <w:b/>
          <w:bCs/>
          <w:sz w:val="36"/>
          <w:szCs w:val="36"/>
          <w:u w:val="single"/>
        </w:rPr>
        <w:t xml:space="preserve"> Please remember to update the contents page before submission</w:t>
      </w:r>
      <w:r w:rsidR="00AB087C">
        <w:rPr>
          <w:b/>
          <w:bCs/>
          <w:sz w:val="36"/>
          <w:szCs w:val="36"/>
          <w:u w:val="single"/>
        </w:rPr>
        <w:t xml:space="preserve"> to the GPhC</w:t>
      </w:r>
      <w:r w:rsidR="00F17437">
        <w:rPr>
          <w:b/>
          <w:bCs/>
          <w:sz w:val="36"/>
          <w:szCs w:val="36"/>
          <w:u w:val="single"/>
        </w:rPr>
        <w:t>.</w:t>
      </w:r>
    </w:p>
    <w:p w14:paraId="1AFD040D" w14:textId="77777777" w:rsidR="00406455" w:rsidRDefault="00406455" w:rsidP="00DA61B9">
      <w:pPr>
        <w:spacing w:before="240"/>
      </w:pPr>
    </w:p>
    <w:sectPr w:rsidR="00406455" w:rsidSect="00E505CE">
      <w:footerReference w:type="default" r:id="rId39"/>
      <w:headerReference w:type="first" r:id="rId40"/>
      <w:footerReference w:type="first" r:id="rId41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319C" w14:textId="77777777" w:rsidR="008C2DF3" w:rsidRDefault="008C2DF3" w:rsidP="00FE3018">
      <w:pPr>
        <w:spacing w:after="0"/>
      </w:pPr>
      <w:r>
        <w:separator/>
      </w:r>
    </w:p>
    <w:p w14:paraId="728120FC" w14:textId="77777777" w:rsidR="008C2DF3" w:rsidRDefault="008C2DF3"/>
  </w:endnote>
  <w:endnote w:type="continuationSeparator" w:id="0">
    <w:p w14:paraId="1EF0CCB5" w14:textId="77777777" w:rsidR="008C2DF3" w:rsidRDefault="008C2DF3" w:rsidP="00FE3018">
      <w:pPr>
        <w:spacing w:after="0"/>
      </w:pPr>
      <w:r>
        <w:continuationSeparator/>
      </w:r>
    </w:p>
    <w:p w14:paraId="16E9FDD8" w14:textId="77777777" w:rsidR="008C2DF3" w:rsidRDefault="008C2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017" w14:textId="51A31C18" w:rsidR="008C2DF3" w:rsidRDefault="009B35C0">
    <w:pPr>
      <w:pStyle w:val="Footer"/>
    </w:pPr>
    <w:sdt>
      <w:sdtPr>
        <w:alias w:val="Title"/>
        <w:tag w:val=""/>
        <w:id w:val="-2051444519"/>
        <w:placeholder>
          <w:docPart w:val="FE60EFA6057148C7903DA54D9EAAEC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1887">
          <w:t>Re/accreditation/recognition of a pharmacy support staff training course(s), part 3, National Occupational Standards, 2021-22 academic year</w:t>
        </w:r>
      </w:sdtContent>
    </w:sdt>
    <w:r w:rsidR="008C2DF3">
      <w:ptab w:relativeTo="margin" w:alignment="right" w:leader="none"/>
    </w:r>
    <w:r w:rsidR="008C2DF3">
      <w:t xml:space="preserve">Page </w:t>
    </w:r>
    <w:r w:rsidR="008C2DF3">
      <w:fldChar w:fldCharType="begin"/>
    </w:r>
    <w:r w:rsidR="008C2DF3">
      <w:instrText xml:space="preserve"> page </w:instrText>
    </w:r>
    <w:r w:rsidR="008C2DF3">
      <w:fldChar w:fldCharType="separate"/>
    </w:r>
    <w:r w:rsidR="008C2DF3">
      <w:rPr>
        <w:noProof/>
      </w:rPr>
      <w:t>1</w:t>
    </w:r>
    <w:r w:rsidR="008C2DF3">
      <w:fldChar w:fldCharType="end"/>
    </w:r>
    <w:r w:rsidR="008C2DF3">
      <w:t xml:space="preserve"> of </w:t>
    </w:r>
    <w:r w:rsidR="008C2DF3">
      <w:rPr>
        <w:noProof/>
      </w:rPr>
      <w:fldChar w:fldCharType="begin"/>
    </w:r>
    <w:r w:rsidR="008C2DF3">
      <w:rPr>
        <w:noProof/>
      </w:rPr>
      <w:instrText xml:space="preserve"> numpages </w:instrText>
    </w:r>
    <w:r w:rsidR="008C2DF3">
      <w:rPr>
        <w:noProof/>
      </w:rPr>
      <w:fldChar w:fldCharType="separate"/>
    </w:r>
    <w:r w:rsidR="008C2DF3">
      <w:rPr>
        <w:noProof/>
      </w:rPr>
      <w:t>2</w:t>
    </w:r>
    <w:r w:rsidR="008C2DF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067A" w14:textId="08457B1B" w:rsidR="008C2DF3" w:rsidRDefault="009B35C0">
    <w:pPr>
      <w:pStyle w:val="Footer"/>
    </w:pPr>
    <w:sdt>
      <w:sdtPr>
        <w:alias w:val="Title"/>
        <w:tag w:val=""/>
        <w:id w:val="-1355963890"/>
        <w:placeholder>
          <w:docPart w:val="2CF2518C25704ACC9274DB17C37886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1887">
          <w:t>Re/accreditation/recognition of a pharmacy support staff training course(s), part 3, National Occupational Standards, 2021-22 academic year</w:t>
        </w:r>
      </w:sdtContent>
    </w:sdt>
    <w:r w:rsidR="008C2DF3">
      <w:ptab w:relativeTo="margin" w:alignment="right" w:leader="none"/>
    </w:r>
    <w:r w:rsidR="008C2DF3">
      <w:t xml:space="preserve">Page </w:t>
    </w:r>
    <w:r w:rsidR="008C2DF3">
      <w:fldChar w:fldCharType="begin"/>
    </w:r>
    <w:r w:rsidR="008C2DF3">
      <w:instrText xml:space="preserve"> page </w:instrText>
    </w:r>
    <w:r w:rsidR="008C2DF3">
      <w:fldChar w:fldCharType="separate"/>
    </w:r>
    <w:r w:rsidR="008C2DF3">
      <w:rPr>
        <w:noProof/>
      </w:rPr>
      <w:t>1</w:t>
    </w:r>
    <w:r w:rsidR="008C2DF3">
      <w:fldChar w:fldCharType="end"/>
    </w:r>
    <w:r w:rsidR="008C2DF3">
      <w:t xml:space="preserve"> of </w:t>
    </w:r>
    <w:r w:rsidR="008C2DF3">
      <w:rPr>
        <w:noProof/>
      </w:rPr>
      <w:fldChar w:fldCharType="begin"/>
    </w:r>
    <w:r w:rsidR="008C2DF3">
      <w:rPr>
        <w:noProof/>
      </w:rPr>
      <w:instrText xml:space="preserve"> numpages </w:instrText>
    </w:r>
    <w:r w:rsidR="008C2DF3">
      <w:rPr>
        <w:noProof/>
      </w:rPr>
      <w:fldChar w:fldCharType="separate"/>
    </w:r>
    <w:r w:rsidR="008C2DF3">
      <w:rPr>
        <w:noProof/>
      </w:rPr>
      <w:t>2</w:t>
    </w:r>
    <w:r w:rsidR="008C2D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B267" w14:textId="77777777" w:rsidR="008C2DF3" w:rsidRDefault="008C2DF3" w:rsidP="00FE3018">
      <w:pPr>
        <w:spacing w:after="0"/>
      </w:pPr>
      <w:r>
        <w:separator/>
      </w:r>
    </w:p>
    <w:p w14:paraId="59F30E14" w14:textId="77777777" w:rsidR="008C2DF3" w:rsidRDefault="008C2DF3"/>
  </w:footnote>
  <w:footnote w:type="continuationSeparator" w:id="0">
    <w:p w14:paraId="51E35A8D" w14:textId="77777777" w:rsidR="008C2DF3" w:rsidRDefault="008C2DF3" w:rsidP="00FE3018">
      <w:pPr>
        <w:spacing w:after="0"/>
      </w:pPr>
      <w:r>
        <w:continuationSeparator/>
      </w:r>
    </w:p>
    <w:p w14:paraId="1A15B47B" w14:textId="77777777" w:rsidR="008C2DF3" w:rsidRDefault="008C2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1BA0" w14:textId="77777777" w:rsidR="008C2DF3" w:rsidRDefault="008C2D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401C" wp14:editId="28523CA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015FF1"/>
    <w:multiLevelType w:val="multilevel"/>
    <w:tmpl w:val="DFDED352"/>
    <w:numStyleLink w:val="GPhCBullets"/>
  </w:abstractNum>
  <w:abstractNum w:abstractNumId="6" w15:restartNumberingAfterBreak="0">
    <w:nsid w:val="067E4D61"/>
    <w:multiLevelType w:val="hybridMultilevel"/>
    <w:tmpl w:val="B3F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8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A8752F"/>
    <w:multiLevelType w:val="hybridMultilevel"/>
    <w:tmpl w:val="A82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77CD"/>
    <w:multiLevelType w:val="hybridMultilevel"/>
    <w:tmpl w:val="95B8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2" w15:restartNumberingAfterBreak="0">
    <w:nsid w:val="2DB10A91"/>
    <w:multiLevelType w:val="multilevel"/>
    <w:tmpl w:val="C4C69D06"/>
    <w:numStyleLink w:val="GPhCListNumbers"/>
  </w:abstractNum>
  <w:abstractNum w:abstractNumId="13" w15:restartNumberingAfterBreak="0">
    <w:nsid w:val="39AF1F92"/>
    <w:multiLevelType w:val="hybridMultilevel"/>
    <w:tmpl w:val="CF4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5967"/>
    <w:multiLevelType w:val="hybridMultilevel"/>
    <w:tmpl w:val="300A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D5A5C"/>
    <w:multiLevelType w:val="hybridMultilevel"/>
    <w:tmpl w:val="701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15EA0"/>
    <w:multiLevelType w:val="hybridMultilevel"/>
    <w:tmpl w:val="FB46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E"/>
    <w:rsid w:val="00002FD8"/>
    <w:rsid w:val="00026E41"/>
    <w:rsid w:val="0005232B"/>
    <w:rsid w:val="0005527F"/>
    <w:rsid w:val="000641DC"/>
    <w:rsid w:val="0007672A"/>
    <w:rsid w:val="000A14C3"/>
    <w:rsid w:val="000A3D6E"/>
    <w:rsid w:val="000A6841"/>
    <w:rsid w:val="000E370C"/>
    <w:rsid w:val="0013728B"/>
    <w:rsid w:val="00151438"/>
    <w:rsid w:val="00167502"/>
    <w:rsid w:val="001704D6"/>
    <w:rsid w:val="00187909"/>
    <w:rsid w:val="001E1500"/>
    <w:rsid w:val="0021517E"/>
    <w:rsid w:val="00245B44"/>
    <w:rsid w:val="002B3488"/>
    <w:rsid w:val="002C22BE"/>
    <w:rsid w:val="002C3BAC"/>
    <w:rsid w:val="002D5741"/>
    <w:rsid w:val="002E7495"/>
    <w:rsid w:val="00306D73"/>
    <w:rsid w:val="00317480"/>
    <w:rsid w:val="00327C1C"/>
    <w:rsid w:val="003572CC"/>
    <w:rsid w:val="00365EE3"/>
    <w:rsid w:val="00387F31"/>
    <w:rsid w:val="003A5F0A"/>
    <w:rsid w:val="003B04F8"/>
    <w:rsid w:val="003C2B73"/>
    <w:rsid w:val="003D3662"/>
    <w:rsid w:val="003E721B"/>
    <w:rsid w:val="004006D7"/>
    <w:rsid w:val="00406455"/>
    <w:rsid w:val="00413CD0"/>
    <w:rsid w:val="004500C4"/>
    <w:rsid w:val="004666AF"/>
    <w:rsid w:val="0048377E"/>
    <w:rsid w:val="004839F4"/>
    <w:rsid w:val="0049585D"/>
    <w:rsid w:val="004A30F8"/>
    <w:rsid w:val="004A3ED6"/>
    <w:rsid w:val="004F5722"/>
    <w:rsid w:val="00500E07"/>
    <w:rsid w:val="00503B26"/>
    <w:rsid w:val="005167CA"/>
    <w:rsid w:val="00523E0C"/>
    <w:rsid w:val="00530CD3"/>
    <w:rsid w:val="005351AB"/>
    <w:rsid w:val="005641BA"/>
    <w:rsid w:val="00576EF6"/>
    <w:rsid w:val="00582A4E"/>
    <w:rsid w:val="005B6712"/>
    <w:rsid w:val="005C5E4F"/>
    <w:rsid w:val="005F3CFE"/>
    <w:rsid w:val="005F760B"/>
    <w:rsid w:val="0061096C"/>
    <w:rsid w:val="00650D8D"/>
    <w:rsid w:val="006732E3"/>
    <w:rsid w:val="006735C5"/>
    <w:rsid w:val="0067534B"/>
    <w:rsid w:val="00691E90"/>
    <w:rsid w:val="006B1FC5"/>
    <w:rsid w:val="006E603E"/>
    <w:rsid w:val="007200F6"/>
    <w:rsid w:val="00721887"/>
    <w:rsid w:val="00741C47"/>
    <w:rsid w:val="0076049B"/>
    <w:rsid w:val="00767A96"/>
    <w:rsid w:val="00787E49"/>
    <w:rsid w:val="007C4A15"/>
    <w:rsid w:val="007C628E"/>
    <w:rsid w:val="008024E9"/>
    <w:rsid w:val="00813F1C"/>
    <w:rsid w:val="00821B60"/>
    <w:rsid w:val="00823E56"/>
    <w:rsid w:val="008279E1"/>
    <w:rsid w:val="008458F7"/>
    <w:rsid w:val="00856000"/>
    <w:rsid w:val="00863456"/>
    <w:rsid w:val="0088001E"/>
    <w:rsid w:val="00883453"/>
    <w:rsid w:val="008C2DF3"/>
    <w:rsid w:val="008D3A97"/>
    <w:rsid w:val="008D69CD"/>
    <w:rsid w:val="008D7CBC"/>
    <w:rsid w:val="008E2651"/>
    <w:rsid w:val="008F7E71"/>
    <w:rsid w:val="00900A07"/>
    <w:rsid w:val="00913C3E"/>
    <w:rsid w:val="00917CF6"/>
    <w:rsid w:val="009347CB"/>
    <w:rsid w:val="00937043"/>
    <w:rsid w:val="00944B35"/>
    <w:rsid w:val="0094577F"/>
    <w:rsid w:val="009A561D"/>
    <w:rsid w:val="009B35C0"/>
    <w:rsid w:val="009C189B"/>
    <w:rsid w:val="009E207E"/>
    <w:rsid w:val="009F771C"/>
    <w:rsid w:val="009F7BE3"/>
    <w:rsid w:val="00A05D65"/>
    <w:rsid w:val="00A8171F"/>
    <w:rsid w:val="00A9396A"/>
    <w:rsid w:val="00AA3BDF"/>
    <w:rsid w:val="00AA71C2"/>
    <w:rsid w:val="00AB087C"/>
    <w:rsid w:val="00AB2432"/>
    <w:rsid w:val="00AC29AC"/>
    <w:rsid w:val="00AC2DD3"/>
    <w:rsid w:val="00AF40E6"/>
    <w:rsid w:val="00AF5161"/>
    <w:rsid w:val="00B17B78"/>
    <w:rsid w:val="00B27A90"/>
    <w:rsid w:val="00B305E0"/>
    <w:rsid w:val="00B468CF"/>
    <w:rsid w:val="00B50DA9"/>
    <w:rsid w:val="00BF3749"/>
    <w:rsid w:val="00C21E1D"/>
    <w:rsid w:val="00C53F5A"/>
    <w:rsid w:val="00C72AE8"/>
    <w:rsid w:val="00C8096A"/>
    <w:rsid w:val="00C86785"/>
    <w:rsid w:val="00C96538"/>
    <w:rsid w:val="00CA2D18"/>
    <w:rsid w:val="00CA36A3"/>
    <w:rsid w:val="00CB5B3D"/>
    <w:rsid w:val="00CC3FD5"/>
    <w:rsid w:val="00CC7009"/>
    <w:rsid w:val="00CC78D8"/>
    <w:rsid w:val="00CD5B71"/>
    <w:rsid w:val="00CD6102"/>
    <w:rsid w:val="00CE40E9"/>
    <w:rsid w:val="00D16D89"/>
    <w:rsid w:val="00D4503E"/>
    <w:rsid w:val="00D509AA"/>
    <w:rsid w:val="00D55661"/>
    <w:rsid w:val="00D6293A"/>
    <w:rsid w:val="00D81359"/>
    <w:rsid w:val="00D84E50"/>
    <w:rsid w:val="00D912A6"/>
    <w:rsid w:val="00D95876"/>
    <w:rsid w:val="00DA5D61"/>
    <w:rsid w:val="00DA61B9"/>
    <w:rsid w:val="00DC1DF9"/>
    <w:rsid w:val="00DD5E66"/>
    <w:rsid w:val="00DE324B"/>
    <w:rsid w:val="00DF31D8"/>
    <w:rsid w:val="00DF7D56"/>
    <w:rsid w:val="00E2341E"/>
    <w:rsid w:val="00E505CE"/>
    <w:rsid w:val="00E8304F"/>
    <w:rsid w:val="00EE3973"/>
    <w:rsid w:val="00EE5EF3"/>
    <w:rsid w:val="00EF0D2B"/>
    <w:rsid w:val="00EF467B"/>
    <w:rsid w:val="00F17437"/>
    <w:rsid w:val="00F24F0E"/>
    <w:rsid w:val="00F5273C"/>
    <w:rsid w:val="00F73373"/>
    <w:rsid w:val="00F7440D"/>
    <w:rsid w:val="00F8179D"/>
    <w:rsid w:val="00F8362C"/>
    <w:rsid w:val="00F84094"/>
    <w:rsid w:val="00FA1892"/>
    <w:rsid w:val="00FA3886"/>
    <w:rsid w:val="00FA412C"/>
    <w:rsid w:val="00FB404C"/>
    <w:rsid w:val="00FC5E90"/>
    <w:rsid w:val="00FE3018"/>
    <w:rsid w:val="00FE5C70"/>
    <w:rsid w:val="00FF425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8A0"/>
  <w15:chartTrackingRefBased/>
  <w15:docId w15:val="{90739380-AC37-4F5E-8AAC-9C726E8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8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8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8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11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table" w:customStyle="1" w:styleId="TableGrid10">
    <w:name w:val="Table Grid1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cyregulation.org/privacy-policy" TargetMode="External"/><Relationship Id="rId18" Type="http://schemas.openxmlformats.org/officeDocument/2006/relationships/hyperlink" Target="https://tools.skillsforhealth.org.uk/competence/show/html/id/4199/" TargetMode="External"/><Relationship Id="rId26" Type="http://schemas.openxmlformats.org/officeDocument/2006/relationships/hyperlink" Target="https://tools.skillsforhealth.org.uk/competence/show/html/id/4207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tools.skillsforhealth.org.uk/competence/show/html/id/4202/" TargetMode="External"/><Relationship Id="rId34" Type="http://schemas.openxmlformats.org/officeDocument/2006/relationships/hyperlink" Target="https://tools.skillsforhealth.org.uk/competence/show/html/id/4215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ducation@pharmacyregulation.org" TargetMode="External"/><Relationship Id="rId17" Type="http://schemas.openxmlformats.org/officeDocument/2006/relationships/hyperlink" Target="https://tools.skillsforhealth.org.uk/competence/show/html/id/4198/" TargetMode="External"/><Relationship Id="rId25" Type="http://schemas.openxmlformats.org/officeDocument/2006/relationships/hyperlink" Target="https://tools.skillsforhealth.org.uk/competence/show/html/id/4206/" TargetMode="External"/><Relationship Id="rId33" Type="http://schemas.openxmlformats.org/officeDocument/2006/relationships/hyperlink" Target="https://tools.skillsforhealth.org.uk/competence/show/html/id/4214/" TargetMode="External"/><Relationship Id="rId38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tools.skillsforhealth.org.uk/competence/show/html/id/4197/" TargetMode="External"/><Relationship Id="rId20" Type="http://schemas.openxmlformats.org/officeDocument/2006/relationships/hyperlink" Target="https://tools.skillsforhealth.org.uk/competence/show/html/id/4201/" TargetMode="External"/><Relationship Id="rId29" Type="http://schemas.openxmlformats.org/officeDocument/2006/relationships/hyperlink" Target="https://tools.skillsforhealth.org.uk/competence/show/html/id/4210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sites/default/files/document/gphcrequirements-for-the-education-and-training-of-pharmacy-support-staff-effective-october-2020_0.pdf" TargetMode="External"/><Relationship Id="rId24" Type="http://schemas.openxmlformats.org/officeDocument/2006/relationships/hyperlink" Target="https://tools.skillsforhealth.org.uk/competence/show/html/id/4205/" TargetMode="External"/><Relationship Id="rId32" Type="http://schemas.openxmlformats.org/officeDocument/2006/relationships/hyperlink" Target="https://tools.skillsforhealth.org.uk/competence/show/html/id/4213/" TargetMode="External"/><Relationship Id="rId37" Type="http://schemas.openxmlformats.org/officeDocument/2006/relationships/hyperlink" Target="https://tools.skillsforhealth.org.uk/competence/show/html/id/4221/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ools.skillsforhealth.org.uk/competence/show/html/id/4196/" TargetMode="External"/><Relationship Id="rId23" Type="http://schemas.openxmlformats.org/officeDocument/2006/relationships/hyperlink" Target="https://tools.skillsforhealth.org.uk/competence/show/html/id/4204/" TargetMode="External"/><Relationship Id="rId28" Type="http://schemas.openxmlformats.org/officeDocument/2006/relationships/hyperlink" Target="https://tools.skillsforhealth.org.uk/competence/show/html/id/4209/" TargetMode="External"/><Relationship Id="rId36" Type="http://schemas.openxmlformats.org/officeDocument/2006/relationships/hyperlink" Target="https://tools.skillsforhealth.org.uk/competence/show/html/id/4220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ools.skillsforhealth.org.uk/competence/show/html/id/4200/" TargetMode="External"/><Relationship Id="rId31" Type="http://schemas.openxmlformats.org/officeDocument/2006/relationships/hyperlink" Target="https://tools.skillsforhealth.org.uk/competence/show/html/id/4212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armacyregulation.org/sites/default/files/document/gphcrequirements-for-the-education-and-training-of-pharmacy-support-staff-effective-october-2020_0.pdf" TargetMode="External"/><Relationship Id="rId22" Type="http://schemas.openxmlformats.org/officeDocument/2006/relationships/hyperlink" Target="https://tools.skillsforhealth.org.uk/competence/show/html/id/4203/" TargetMode="External"/><Relationship Id="rId27" Type="http://schemas.openxmlformats.org/officeDocument/2006/relationships/hyperlink" Target="https://tools.skillsforhealth.org.uk/competence/show/html/id/4208/" TargetMode="External"/><Relationship Id="rId30" Type="http://schemas.openxmlformats.org/officeDocument/2006/relationships/hyperlink" Target="https://tools.skillsforhealth.org.uk/competence/show/html/id/4211/" TargetMode="External"/><Relationship Id="rId35" Type="http://schemas.openxmlformats.org/officeDocument/2006/relationships/hyperlink" Target="https://tools.skillsforhealth.org.uk/competence/show/html/id/4219/" TargetMode="Externa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ckendrick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0EFA6057148C7903DA54D9EA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D3F-6ADC-4C39-9477-6FE2CCA6FD6B}"/>
      </w:docPartPr>
      <w:docPartBody>
        <w:p w:rsidR="000F3026" w:rsidRDefault="000F3026">
          <w:pPr>
            <w:pStyle w:val="FE60EFA6057148C7903DA54D9EAAEC83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2CF2518C25704ACC9274DB17C378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DA06-B6E4-42A2-8FE6-EB2BC48824C4}"/>
      </w:docPartPr>
      <w:docPartBody>
        <w:p w:rsidR="000F3026" w:rsidRDefault="000F3026" w:rsidP="000F3026">
          <w:pPr>
            <w:pStyle w:val="2CF2518C25704ACC9274DB17C3788676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09E457E0C9564C378B3A6738D0AD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1592-DBD8-4161-9A79-EED56482BAF1}"/>
      </w:docPartPr>
      <w:docPartBody>
        <w:p w:rsidR="000F3026" w:rsidRDefault="000F3026" w:rsidP="000F3026">
          <w:pPr>
            <w:pStyle w:val="09E457E0C9564C378B3A6738D0AD8AA5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6"/>
    <w:rsid w:val="000F3026"/>
    <w:rsid w:val="00505A63"/>
    <w:rsid w:val="009E27E0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026"/>
    <w:rPr>
      <w:color w:val="808080" w:themeColor="background1" w:themeShade="80"/>
    </w:rPr>
  </w:style>
  <w:style w:type="paragraph" w:customStyle="1" w:styleId="0A3DCF488AE344B8AC6453D9F46191D8">
    <w:name w:val="0A3DCF488AE344B8AC6453D9F46191D8"/>
  </w:style>
  <w:style w:type="paragraph" w:customStyle="1" w:styleId="FE60EFA6057148C7903DA54D9EAAEC83">
    <w:name w:val="FE60EFA6057148C7903DA54D9EAAEC83"/>
  </w:style>
  <w:style w:type="paragraph" w:customStyle="1" w:styleId="2CF2518C25704ACC9274DB17C3788676">
    <w:name w:val="2CF2518C25704ACC9274DB17C3788676"/>
    <w:rsid w:val="000F3026"/>
  </w:style>
  <w:style w:type="paragraph" w:customStyle="1" w:styleId="09E457E0C9564C378B3A6738D0AD8AA5">
    <w:name w:val="09E457E0C9564C378B3A6738D0AD8AA5"/>
    <w:rsid w:val="000F3026"/>
  </w:style>
  <w:style w:type="paragraph" w:customStyle="1" w:styleId="6BACF6B8E04549D4BBD668C51A23A1C8">
    <w:name w:val="6BACF6B8E04549D4BBD668C51A23A1C8"/>
    <w:rsid w:val="009E27E0"/>
  </w:style>
  <w:style w:type="paragraph" w:customStyle="1" w:styleId="17F0E1340BA346CD97D863E91AD6B949">
    <w:name w:val="17F0E1340BA346CD97D863E91AD6B949"/>
    <w:rsid w:val="009E27E0"/>
  </w:style>
  <w:style w:type="paragraph" w:customStyle="1" w:styleId="B6A4B757D463478B85947A64B3C8891C">
    <w:name w:val="B6A4B757D463478B85947A64B3C8891C"/>
    <w:rsid w:val="009E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531322357A4F90AAED4E87D66196" ma:contentTypeVersion="12" ma:contentTypeDescription="Create a new document." ma:contentTypeScope="" ma:versionID="d60112f753c91530db033d26f492f4d6">
  <xsd:schema xmlns:xsd="http://www.w3.org/2001/XMLSchema" xmlns:xs="http://www.w3.org/2001/XMLSchema" xmlns:p="http://schemas.microsoft.com/office/2006/metadata/properties" xmlns:ns3="6c5b9679-15ec-428d-8270-0fea7a67e815" xmlns:ns4="9a6e0511-9434-45dd-b0ff-990b633dd984" targetNamespace="http://schemas.microsoft.com/office/2006/metadata/properties" ma:root="true" ma:fieldsID="607be4b0fa805912ec4da78bd1690fb6" ns3:_="" ns4:_="">
    <xsd:import namespace="6c5b9679-15ec-428d-8270-0fea7a67e815"/>
    <xsd:import namespace="9a6e0511-9434-45dd-b0ff-990b633dd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9679-15ec-428d-8270-0fea7a67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0511-9434-45dd-b0ff-990b633d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80CA-BFA7-4752-B831-95C83AC1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9679-15ec-428d-8270-0fea7a67e815"/>
    <ds:schemaRef ds:uri="9a6e0511-9434-45dd-b0ff-990b633d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7B63-1662-4F74-B370-47E4AF164A4A}">
  <ds:schemaRefs>
    <ds:schemaRef ds:uri="6c5b9679-15ec-428d-8270-0fea7a67e8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6e0511-9434-45dd-b0ff-990b633dd9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3918A-10FF-4F6C-9940-77868EA37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8DC4F-0973-4D86-B071-D3B8C07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40</TotalTime>
  <Pages>19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Re/accreditation/recognition of a pharmacy support staff training course(s), part 3 NOS, 2021-22 academic year</vt:lpstr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Re/accreditation/recognition of a pharmacy support staff training course(s), part 3, National Occupational Standards, 2021-22 academic year</dc:title>
  <dc:subject/>
  <dc:creator>Chris McKendrick</dc:creator>
  <cp:keywords/>
  <dc:description/>
  <cp:lastModifiedBy>Chris McKendrick</cp:lastModifiedBy>
  <cp:revision>11</cp:revision>
  <dcterms:created xsi:type="dcterms:W3CDTF">2021-08-26T13:54:00Z</dcterms:created>
  <dcterms:modified xsi:type="dcterms:W3CDTF">2021-08-26T15:38:00Z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  <property fmtid="{D5CDD505-2E9C-101B-9397-08002B2CF9AE}" pid="3" name="ContentTypeId">
    <vt:lpwstr>0x0101007B94531322357A4F90AAED4E87D66196</vt:lpwstr>
  </property>
</Properties>
</file>